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2BA" w:rsidRDefault="00A81296">
      <w:pPr>
        <w:pStyle w:val="Header"/>
        <w:rPr>
          <w:rFonts w:eastAsiaTheme="minorEastAsia" w:cs="Arial"/>
          <w:bCs/>
          <w:sz w:val="24"/>
          <w:lang w:eastAsia="zh-CN"/>
        </w:rPr>
      </w:pPr>
      <w:r>
        <w:rPr>
          <w:rFonts w:cs="Arial"/>
          <w:bCs/>
          <w:sz w:val="24"/>
          <w:szCs w:val="22"/>
        </w:rPr>
        <w:t xml:space="preserve">3GPP TSG RAN WG1 Meeting </w:t>
      </w:r>
      <w:r>
        <w:rPr>
          <w:rFonts w:eastAsia="宋体" w:cs="Arial" w:hint="eastAsia"/>
          <w:bCs/>
          <w:sz w:val="28"/>
          <w:szCs w:val="28"/>
          <w:lang w:eastAsia="zh-CN"/>
        </w:rPr>
        <w:t>#90</w:t>
      </w:r>
      <w:r>
        <w:rPr>
          <w:rFonts w:cs="Arial"/>
          <w:bCs/>
          <w:sz w:val="24"/>
          <w:szCs w:val="22"/>
        </w:rPr>
        <w:t xml:space="preserve">                 </w:t>
      </w:r>
      <w:r>
        <w:rPr>
          <w:rFonts w:cs="Arial"/>
          <w:bCs/>
          <w:sz w:val="24"/>
          <w:szCs w:val="22"/>
          <w:lang w:eastAsia="ja-JP"/>
        </w:rPr>
        <w:t xml:space="preserve">     </w:t>
      </w:r>
      <w:r>
        <w:rPr>
          <w:rFonts w:eastAsiaTheme="minorEastAsia" w:cs="Arial"/>
          <w:bCs/>
          <w:sz w:val="24"/>
          <w:szCs w:val="22"/>
        </w:rPr>
        <w:t xml:space="preserve"> </w:t>
      </w:r>
      <w:r>
        <w:rPr>
          <w:rFonts w:cs="Arial"/>
          <w:bCs/>
          <w:sz w:val="24"/>
          <w:szCs w:val="22"/>
          <w:lang w:eastAsia="ja-JP"/>
        </w:rPr>
        <w:t xml:space="preserve">              </w:t>
      </w:r>
      <w:r>
        <w:rPr>
          <w:rFonts w:cs="Arial"/>
          <w:bCs/>
          <w:sz w:val="24"/>
          <w:szCs w:val="22"/>
          <w:lang w:eastAsia="ja-JP"/>
        </w:rPr>
        <w:tab/>
      </w:r>
      <w:r>
        <w:rPr>
          <w:rFonts w:cs="Arial"/>
          <w:bCs/>
          <w:sz w:val="24"/>
        </w:rPr>
        <w:t>R1-17</w:t>
      </w:r>
      <w:r>
        <w:rPr>
          <w:rFonts w:eastAsiaTheme="minorEastAsia" w:cs="Arial" w:hint="eastAsia"/>
          <w:bCs/>
          <w:sz w:val="24"/>
          <w:lang w:eastAsia="zh-CN"/>
        </w:rPr>
        <w:t>12445</w:t>
      </w:r>
    </w:p>
    <w:p w:rsidR="001662BA" w:rsidRDefault="00A81296">
      <w:pPr>
        <w:pStyle w:val="Footer"/>
        <w:tabs>
          <w:tab w:val="clear" w:pos="4153"/>
          <w:tab w:val="clear" w:pos="8306"/>
          <w:tab w:val="center" w:pos="4513"/>
          <w:tab w:val="right" w:pos="9026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val="en-GB"/>
        </w:rPr>
        <w:t>Prague</w:t>
      </w:r>
      <w:r>
        <w:rPr>
          <w:rFonts w:ascii="Arial" w:hAnsi="Arial" w:cs="Arial"/>
          <w:b/>
          <w:bCs/>
          <w:sz w:val="24"/>
          <w:szCs w:val="24"/>
          <w:lang w:val="en-GB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z w:val="24"/>
          <w:szCs w:val="24"/>
          <w:lang w:val="en-GB"/>
        </w:rPr>
        <w:t>Czechia</w:t>
      </w:r>
      <w:proofErr w:type="spellEnd"/>
      <w:r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val="en-GB"/>
        </w:rPr>
        <w:t>21</w:t>
      </w:r>
      <w:r w:rsidR="00A21CF2" w:rsidRPr="00A21CF2">
        <w:rPr>
          <w:rFonts w:ascii="Arial" w:hAnsi="Arial" w:cs="Arial" w:hint="eastAsia"/>
          <w:b/>
          <w:bCs/>
          <w:sz w:val="24"/>
          <w:szCs w:val="24"/>
          <w:vertAlign w:val="superscript"/>
          <w:lang w:val="en-GB"/>
        </w:rPr>
        <w:t>st</w:t>
      </w:r>
      <w:r>
        <w:rPr>
          <w:rFonts w:ascii="Arial" w:hAnsi="Arial" w:cs="Arial" w:hint="eastAsia"/>
          <w:b/>
          <w:bCs/>
          <w:sz w:val="24"/>
          <w:szCs w:val="24"/>
          <w:lang w:val="en-GB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GB"/>
        </w:rPr>
        <w:t xml:space="preserve">– </w:t>
      </w:r>
      <w:r>
        <w:rPr>
          <w:rFonts w:ascii="Arial" w:hAnsi="Arial" w:cs="Arial" w:hint="eastAsia"/>
          <w:b/>
          <w:bCs/>
          <w:sz w:val="24"/>
          <w:szCs w:val="24"/>
          <w:lang w:val="en-GB"/>
        </w:rPr>
        <w:t>25</w:t>
      </w:r>
      <w:r w:rsidRPr="00A21CF2">
        <w:rPr>
          <w:rFonts w:ascii="Arial" w:hAnsi="Arial" w:cs="Arial" w:hint="eastAsia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val="en-GB"/>
        </w:rPr>
        <w:t>August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</w:rPr>
        <w:t>2017</w:t>
      </w:r>
    </w:p>
    <w:p w:rsidR="001662BA" w:rsidRDefault="00A81296">
      <w:pPr>
        <w:pStyle w:val="Header"/>
        <w:tabs>
          <w:tab w:val="left" w:pos="1800"/>
        </w:tabs>
        <w:spacing w:line="312" w:lineRule="auto"/>
        <w:ind w:left="1756" w:hangingChars="833" w:hanging="1756"/>
        <w:rPr>
          <w:rFonts w:eastAsia="宋体"/>
          <w:sz w:val="21"/>
          <w:szCs w:val="21"/>
          <w:lang w:eastAsia="zh-CN"/>
        </w:rPr>
      </w:pPr>
      <w:r>
        <w:rPr>
          <w:rFonts w:eastAsia="宋体"/>
          <w:sz w:val="21"/>
          <w:szCs w:val="21"/>
          <w:lang w:eastAsia="zh-CN"/>
        </w:rPr>
        <w:t xml:space="preserve">Source: </w:t>
      </w:r>
      <w:r>
        <w:rPr>
          <w:rFonts w:eastAsia="宋体"/>
          <w:sz w:val="21"/>
          <w:szCs w:val="21"/>
          <w:lang w:eastAsia="zh-CN"/>
        </w:rPr>
        <w:tab/>
        <w:t>ZTE</w:t>
      </w:r>
    </w:p>
    <w:p w:rsidR="001662BA" w:rsidRDefault="00A81296">
      <w:pPr>
        <w:pStyle w:val="Header"/>
        <w:tabs>
          <w:tab w:val="left" w:pos="1800"/>
        </w:tabs>
        <w:spacing w:line="312" w:lineRule="auto"/>
        <w:ind w:left="1756" w:hangingChars="833" w:hanging="1756"/>
        <w:rPr>
          <w:rFonts w:eastAsia="宋体"/>
          <w:sz w:val="21"/>
          <w:szCs w:val="21"/>
          <w:lang w:eastAsia="zh-CN"/>
        </w:rPr>
      </w:pPr>
      <w:r>
        <w:rPr>
          <w:rFonts w:eastAsia="宋体"/>
          <w:sz w:val="21"/>
          <w:szCs w:val="21"/>
          <w:lang w:eastAsia="zh-CN"/>
        </w:rPr>
        <w:t>Title:</w:t>
      </w:r>
      <w:r>
        <w:rPr>
          <w:rFonts w:eastAsia="宋体"/>
          <w:sz w:val="21"/>
          <w:szCs w:val="21"/>
          <w:lang w:eastAsia="zh-CN"/>
        </w:rPr>
        <w:tab/>
      </w:r>
      <w:r>
        <w:rPr>
          <w:rFonts w:eastAsia="宋体" w:hint="eastAsia"/>
          <w:sz w:val="21"/>
          <w:szCs w:val="21"/>
          <w:lang w:eastAsia="zh-CN"/>
        </w:rPr>
        <w:t>Contents for Group-c</w:t>
      </w:r>
      <w:r>
        <w:rPr>
          <w:rFonts w:eastAsia="宋体"/>
          <w:sz w:val="21"/>
          <w:szCs w:val="21"/>
          <w:lang w:eastAsia="zh-CN"/>
        </w:rPr>
        <w:t xml:space="preserve">ommon PDCCH                         </w:t>
      </w:r>
    </w:p>
    <w:p w:rsidR="001662BA" w:rsidRDefault="00A81296">
      <w:pPr>
        <w:pStyle w:val="Header"/>
        <w:tabs>
          <w:tab w:val="left" w:pos="1800"/>
        </w:tabs>
        <w:spacing w:line="312" w:lineRule="auto"/>
        <w:ind w:left="1756" w:hangingChars="833" w:hanging="1756"/>
        <w:rPr>
          <w:rFonts w:eastAsia="宋体"/>
          <w:sz w:val="21"/>
          <w:szCs w:val="21"/>
          <w:lang w:eastAsia="zh-CN"/>
        </w:rPr>
      </w:pPr>
      <w:r>
        <w:rPr>
          <w:rFonts w:eastAsia="宋体"/>
          <w:sz w:val="21"/>
          <w:szCs w:val="21"/>
          <w:lang w:eastAsia="zh-CN"/>
        </w:rPr>
        <w:t>Agenda Item:</w:t>
      </w:r>
      <w:bookmarkStart w:id="0" w:name="Source"/>
      <w:bookmarkEnd w:id="0"/>
      <w:r>
        <w:rPr>
          <w:rFonts w:eastAsia="宋体"/>
          <w:sz w:val="21"/>
          <w:szCs w:val="21"/>
          <w:lang w:eastAsia="zh-CN"/>
        </w:rPr>
        <w:tab/>
      </w:r>
      <w:r>
        <w:rPr>
          <w:rFonts w:eastAsia="宋体" w:hint="eastAsia"/>
          <w:sz w:val="21"/>
          <w:szCs w:val="21"/>
          <w:lang w:eastAsia="zh-CN"/>
        </w:rPr>
        <w:t>6</w:t>
      </w:r>
      <w:r>
        <w:rPr>
          <w:rFonts w:eastAsia="宋体"/>
          <w:sz w:val="21"/>
          <w:szCs w:val="21"/>
          <w:lang w:eastAsia="zh-CN"/>
        </w:rPr>
        <w:t>.1.3.1.</w:t>
      </w:r>
      <w:r>
        <w:rPr>
          <w:rFonts w:eastAsia="宋体" w:hint="eastAsia"/>
          <w:sz w:val="21"/>
          <w:szCs w:val="21"/>
          <w:lang w:eastAsia="zh-CN"/>
        </w:rPr>
        <w:t>4.2</w:t>
      </w:r>
    </w:p>
    <w:p w:rsidR="001662BA" w:rsidRDefault="00A81296">
      <w:pPr>
        <w:pStyle w:val="Header"/>
        <w:tabs>
          <w:tab w:val="left" w:pos="1800"/>
        </w:tabs>
        <w:spacing w:line="312" w:lineRule="auto"/>
        <w:rPr>
          <w:rFonts w:eastAsia="宋体"/>
          <w:sz w:val="21"/>
          <w:szCs w:val="21"/>
          <w:lang w:eastAsia="zh-CN"/>
        </w:rPr>
      </w:pPr>
      <w:r>
        <w:rPr>
          <w:rFonts w:eastAsia="宋体"/>
          <w:sz w:val="21"/>
          <w:szCs w:val="21"/>
          <w:lang w:eastAsia="zh-CN"/>
        </w:rPr>
        <w:t>Document for:</w:t>
      </w:r>
      <w:r>
        <w:rPr>
          <w:rFonts w:eastAsia="宋体"/>
          <w:sz w:val="21"/>
          <w:szCs w:val="21"/>
          <w:lang w:eastAsia="zh-CN"/>
        </w:rPr>
        <w:tab/>
      </w:r>
      <w:bookmarkStart w:id="1" w:name="DocumentFor"/>
      <w:bookmarkEnd w:id="1"/>
      <w:r>
        <w:rPr>
          <w:rFonts w:eastAsia="宋体"/>
          <w:sz w:val="21"/>
          <w:szCs w:val="21"/>
          <w:lang w:eastAsia="zh-CN"/>
        </w:rPr>
        <w:t>Discussion and Decision</w:t>
      </w:r>
    </w:p>
    <w:p w:rsidR="001662BA" w:rsidRDefault="001662BA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</w:rPr>
      </w:pPr>
    </w:p>
    <w:p w:rsidR="001662BA" w:rsidRDefault="00A81296">
      <w:pPr>
        <w:pStyle w:val="Heading1"/>
        <w:rPr>
          <w:lang w:val="en-US"/>
        </w:rPr>
      </w:pPr>
      <w:r>
        <w:t>Introduction</w:t>
      </w:r>
      <w:r>
        <w:rPr>
          <w:rFonts w:hint="eastAsia"/>
          <w:lang w:val="en-US"/>
        </w:rPr>
        <w:t xml:space="preserve">  </w:t>
      </w:r>
    </w:p>
    <w:p w:rsidR="001662BA" w:rsidRDefault="00A81296">
      <w:r>
        <w:rPr>
          <w:rFonts w:hint="eastAsia"/>
        </w:rPr>
        <w:t xml:space="preserve">For Group-common PDCCH, in </w:t>
      </w:r>
      <w:r>
        <w:t xml:space="preserve">previous </w:t>
      </w:r>
      <w:r>
        <w:rPr>
          <w:rFonts w:hint="eastAsia"/>
        </w:rPr>
        <w:t>RAN1 meetings, some agreements were reached.</w:t>
      </w:r>
    </w:p>
    <w:p w:rsidR="001662BA" w:rsidRDefault="00A81296">
      <w:pPr>
        <w:pStyle w:val="10"/>
        <w:ind w:firstLineChars="0" w:firstLine="0"/>
        <w:rPr>
          <w:rFonts w:eastAsiaTheme="minorEastAsia"/>
          <w:bCs/>
          <w:szCs w:val="20"/>
        </w:rPr>
      </w:pPr>
      <w:proofErr w:type="gramStart"/>
      <w:r>
        <w:rPr>
          <w:rFonts w:eastAsia="MS Mincho" w:hint="eastAsia"/>
          <w:bCs/>
          <w:highlight w:val="green"/>
          <w:lang w:eastAsia="ja-JP"/>
        </w:rPr>
        <w:t>Agreements</w:t>
      </w:r>
      <w:bookmarkStart w:id="2" w:name="OLE_LINK3"/>
      <w:r>
        <w:rPr>
          <w:rFonts w:eastAsiaTheme="minorEastAsia" w:hint="eastAsia"/>
          <w:bCs/>
          <w:highlight w:val="green"/>
        </w:rPr>
        <w:t>(</w:t>
      </w:r>
      <w:proofErr w:type="gramEnd"/>
      <w:r>
        <w:rPr>
          <w:rFonts w:eastAsiaTheme="minorEastAsia" w:hint="eastAsia"/>
          <w:bCs/>
          <w:highlight w:val="green"/>
        </w:rPr>
        <w:t>in Ad Hoc meeting)</w:t>
      </w:r>
      <w:bookmarkEnd w:id="2"/>
      <w:r>
        <w:rPr>
          <w:rFonts w:eastAsiaTheme="minorEastAsia" w:hint="eastAsia"/>
          <w:bCs/>
          <w:highlight w:val="green"/>
        </w:rPr>
        <w:t>:</w:t>
      </w:r>
    </w:p>
    <w:p w:rsidR="001662BA" w:rsidRDefault="00A81296">
      <w:pPr>
        <w:numPr>
          <w:ilvl w:val="0"/>
          <w:numId w:val="6"/>
        </w:numPr>
        <w:spacing w:before="0" w:after="0" w:line="240" w:lineRule="auto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NR supports a ‘group common PDCCH’ carrying information of e.g. the slot structure. </w:t>
      </w:r>
    </w:p>
    <w:p w:rsidR="001662BA" w:rsidRDefault="00A81296">
      <w:pPr>
        <w:numPr>
          <w:ilvl w:val="1"/>
          <w:numId w:val="6"/>
        </w:numPr>
        <w:spacing w:before="0" w:after="0" w:line="240" w:lineRule="auto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If the UE does not receive the ‘group common PDCCH’ the UE should be able to receive at least PDCCH in a slot, at least if the gNB did not transmit the ‘group common PDCCH’.</w:t>
      </w:r>
    </w:p>
    <w:p w:rsidR="001662BA" w:rsidRDefault="00A81296">
      <w:pPr>
        <w:numPr>
          <w:ilvl w:val="1"/>
          <w:numId w:val="6"/>
        </w:numPr>
        <w:spacing w:before="0" w:after="0" w:line="240" w:lineRule="auto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The network will inform through RRC </w:t>
      </w:r>
      <w:proofErr w:type="spellStart"/>
      <w:r>
        <w:rPr>
          <w:rFonts w:eastAsia="MS Mincho"/>
          <w:szCs w:val="20"/>
          <w:lang w:eastAsia="ja-JP"/>
        </w:rPr>
        <w:t>signalling</w:t>
      </w:r>
      <w:proofErr w:type="spellEnd"/>
      <w:r>
        <w:rPr>
          <w:rFonts w:eastAsia="MS Mincho"/>
          <w:szCs w:val="20"/>
          <w:lang w:eastAsia="ja-JP"/>
        </w:rPr>
        <w:t xml:space="preserve"> the UE whether to decode the ‘group common PDCCH’ or not</w:t>
      </w:r>
      <w:r>
        <w:rPr>
          <w:rFonts w:hint="eastAsia"/>
          <w:szCs w:val="20"/>
        </w:rPr>
        <w:t xml:space="preserve">  </w:t>
      </w:r>
    </w:p>
    <w:p w:rsidR="001662BA" w:rsidRDefault="00A81296">
      <w:pPr>
        <w:numPr>
          <w:ilvl w:val="1"/>
          <w:numId w:val="6"/>
        </w:numPr>
        <w:spacing w:before="0" w:after="0" w:line="240" w:lineRule="auto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Common does not necessarily imply common per cell.</w:t>
      </w:r>
      <w:r>
        <w:rPr>
          <w:rFonts w:hint="eastAsia"/>
          <w:szCs w:val="20"/>
        </w:rPr>
        <w:t xml:space="preserve">  </w:t>
      </w:r>
    </w:p>
    <w:p w:rsidR="001662BA" w:rsidRDefault="00A81296">
      <w:pPr>
        <w:numPr>
          <w:ilvl w:val="1"/>
          <w:numId w:val="6"/>
        </w:numPr>
        <w:spacing w:before="0" w:after="0" w:line="240" w:lineRule="auto"/>
        <w:rPr>
          <w:rFonts w:eastAsia="MS Mincho"/>
          <w:szCs w:val="20"/>
          <w:lang w:eastAsia="ja-JP"/>
        </w:rPr>
      </w:pPr>
      <w:r>
        <w:rPr>
          <w:szCs w:val="20"/>
        </w:rPr>
        <w:t>Continue the discussion on the detailed content of the ‘group common PDCCH’ including usage for TDD and FDD</w:t>
      </w:r>
    </w:p>
    <w:p w:rsidR="001662BA" w:rsidRDefault="00A81296">
      <w:pPr>
        <w:numPr>
          <w:ilvl w:val="1"/>
          <w:numId w:val="6"/>
        </w:numPr>
        <w:spacing w:before="0" w:after="0" w:line="240" w:lineRule="auto"/>
        <w:rPr>
          <w:rFonts w:eastAsia="MS Mincho"/>
          <w:szCs w:val="20"/>
          <w:lang w:eastAsia="ja-JP"/>
        </w:rPr>
      </w:pPr>
      <w:r>
        <w:rPr>
          <w:szCs w:val="20"/>
        </w:rPr>
        <w:t>The term ‘group common PDCCH’ refers to a channel (either a PDCCH or a separately designed channel) that carries information intended for the group of UEs.</w:t>
      </w:r>
    </w:p>
    <w:p w:rsidR="001662BA" w:rsidRDefault="00A81296">
      <w:pPr>
        <w:rPr>
          <w:rFonts w:eastAsia="MS Mincho"/>
          <w:lang w:eastAsia="ja-JP"/>
        </w:rPr>
      </w:pPr>
      <w:r>
        <w:rPr>
          <w:rFonts w:eastAsia="MS Mincho" w:hint="eastAsia"/>
          <w:highlight w:val="green"/>
          <w:lang w:eastAsia="ja-JP"/>
        </w:rPr>
        <w:t>Agreements</w:t>
      </w:r>
      <w:r>
        <w:rPr>
          <w:rFonts w:hint="eastAsia"/>
          <w:highlight w:val="green"/>
        </w:rPr>
        <w:t xml:space="preserve"> (in RAN1 #89)</w:t>
      </w:r>
      <w:r>
        <w:rPr>
          <w:rFonts w:eastAsia="MS Mincho" w:hint="eastAsia"/>
          <w:highlight w:val="green"/>
          <w:lang w:eastAsia="ja-JP"/>
        </w:rPr>
        <w:t>:</w:t>
      </w:r>
    </w:p>
    <w:p w:rsidR="001662BA" w:rsidRDefault="00A81296">
      <w:pPr>
        <w:numPr>
          <w:ilvl w:val="0"/>
          <w:numId w:val="7"/>
        </w:numPr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The SFI transmitted in a group-common PDCCH can indicate the slot format related information for one or more slots</w:t>
      </w:r>
    </w:p>
    <w:p w:rsidR="001662BA" w:rsidRDefault="00A81296">
      <w:pPr>
        <w:numPr>
          <w:ilvl w:val="1"/>
          <w:numId w:val="7"/>
        </w:numPr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The slot format related information informs the UEs of the number of slots and the slot format(s) related information of those slots</w:t>
      </w:r>
    </w:p>
    <w:p w:rsidR="001662BA" w:rsidRDefault="00A81296">
      <w:pPr>
        <w:numPr>
          <w:ilvl w:val="1"/>
          <w:numId w:val="7"/>
        </w:numPr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FFS: how to interpret the SFI when the UE is configured with multiple bandwidth parts</w:t>
      </w:r>
    </w:p>
    <w:p w:rsidR="001662BA" w:rsidRDefault="00A81296">
      <w:pPr>
        <w:numPr>
          <w:ilvl w:val="1"/>
          <w:numId w:val="7"/>
        </w:numPr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FFS: details for UE </w:t>
      </w:r>
      <w:proofErr w:type="spellStart"/>
      <w:r>
        <w:rPr>
          <w:rFonts w:eastAsia="MS Mincho"/>
          <w:szCs w:val="20"/>
          <w:lang w:eastAsia="ja-JP"/>
        </w:rPr>
        <w:t>behaviour</w:t>
      </w:r>
      <w:proofErr w:type="spellEnd"/>
    </w:p>
    <w:p w:rsidR="001662BA" w:rsidRDefault="00A81296">
      <w:pPr>
        <w:numPr>
          <w:ilvl w:val="0"/>
          <w:numId w:val="7"/>
        </w:numPr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FFS: A UE may be configured to monitor for at most one group-common PDCCH carrying slot format related information (SFI) in a slot</w:t>
      </w:r>
    </w:p>
    <w:p w:rsidR="001662BA" w:rsidRDefault="00A81296">
      <w:pPr>
        <w:rPr>
          <w:lang w:eastAsia="ja-JP"/>
        </w:rPr>
      </w:pPr>
      <w:r>
        <w:rPr>
          <w:rFonts w:hint="eastAsia"/>
          <w:highlight w:val="green"/>
          <w:lang w:eastAsia="ja-JP"/>
        </w:rPr>
        <w:t>Agreements:</w:t>
      </w:r>
    </w:p>
    <w:p w:rsidR="001662BA" w:rsidRDefault="00A81296">
      <w:pPr>
        <w:numPr>
          <w:ilvl w:val="0"/>
          <w:numId w:val="8"/>
        </w:numPr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Regarding to the periodicity that included in the higher layer </w:t>
      </w:r>
      <w:proofErr w:type="spellStart"/>
      <w:r>
        <w:rPr>
          <w:rFonts w:eastAsia="MS Mincho"/>
          <w:szCs w:val="20"/>
          <w:lang w:eastAsia="ja-JP"/>
        </w:rPr>
        <w:t>signalling</w:t>
      </w:r>
      <w:proofErr w:type="spellEnd"/>
      <w:r>
        <w:rPr>
          <w:rFonts w:eastAsia="MS Mincho"/>
          <w:szCs w:val="20"/>
          <w:lang w:eastAsia="ja-JP"/>
        </w:rPr>
        <w:t xml:space="preserve"> for the semi-static assignment of DL/UL transmission direction for NR, at least the following values are supported:</w:t>
      </w:r>
    </w:p>
    <w:p w:rsidR="001662BA" w:rsidRDefault="00A81296">
      <w:pPr>
        <w:numPr>
          <w:ilvl w:val="1"/>
          <w:numId w:val="8"/>
        </w:numPr>
        <w:tabs>
          <w:tab w:val="clear" w:pos="1440"/>
        </w:tabs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[Roughly 0.125ms, roughly 0.25ms,] 0.5ms, 1ms, 2ms, 5ms, 10ms;</w:t>
      </w:r>
    </w:p>
    <w:p w:rsidR="001662BA" w:rsidRDefault="00A81296">
      <w:pPr>
        <w:numPr>
          <w:ilvl w:val="2"/>
          <w:numId w:val="8"/>
        </w:numPr>
        <w:tabs>
          <w:tab w:val="clear" w:pos="2160"/>
        </w:tabs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Each periodicity is supported for particular SCS(s)/slot duration(s)</w:t>
      </w:r>
    </w:p>
    <w:p w:rsidR="001662BA" w:rsidRDefault="00A81296">
      <w:pPr>
        <w:numPr>
          <w:ilvl w:val="1"/>
          <w:numId w:val="8"/>
        </w:numPr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FFS: details</w:t>
      </w:r>
    </w:p>
    <w:p w:rsidR="001662BA" w:rsidRDefault="00A81296">
      <w:pPr>
        <w:rPr>
          <w:color w:val="0070C0"/>
          <w:lang w:eastAsia="ja-JP"/>
        </w:rPr>
      </w:pPr>
      <w:r>
        <w:rPr>
          <w:rFonts w:hint="eastAsia"/>
          <w:highlight w:val="green"/>
          <w:lang w:eastAsia="ja-JP"/>
        </w:rPr>
        <w:t>Agreements:</w:t>
      </w:r>
    </w:p>
    <w:p w:rsidR="001662BA" w:rsidRDefault="00A81296">
      <w:pPr>
        <w:numPr>
          <w:ilvl w:val="0"/>
          <w:numId w:val="9"/>
        </w:numPr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In ‘Slot format related information’, ‘other’ is at least:</w:t>
      </w:r>
    </w:p>
    <w:p w:rsidR="001662BA" w:rsidRDefault="00A81296">
      <w:pPr>
        <w:numPr>
          <w:ilvl w:val="1"/>
          <w:numId w:val="9"/>
        </w:numPr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‘Unknown’</w:t>
      </w:r>
    </w:p>
    <w:p w:rsidR="001662BA" w:rsidRDefault="00A81296">
      <w:pPr>
        <w:numPr>
          <w:ilvl w:val="2"/>
          <w:numId w:val="9"/>
        </w:numPr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UE shall not assume anything for the symbol with ‘Unknown’ by this information</w:t>
      </w:r>
    </w:p>
    <w:p w:rsidR="001662BA" w:rsidRDefault="00A81296">
      <w:pPr>
        <w:numPr>
          <w:ilvl w:val="2"/>
          <w:numId w:val="9"/>
        </w:numPr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FFS: UE behavior when the UE receives the information for the symbol from SFI and broadcast DCI and/or UE-specific DCI and/or semi-static signaling/configuration</w:t>
      </w:r>
    </w:p>
    <w:p w:rsidR="001662BA" w:rsidRDefault="00A81296">
      <w:pPr>
        <w:numPr>
          <w:ilvl w:val="1"/>
          <w:numId w:val="9"/>
        </w:numPr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FFS: ‘Empty’</w:t>
      </w:r>
    </w:p>
    <w:p w:rsidR="001662BA" w:rsidRDefault="00A81296">
      <w:pPr>
        <w:numPr>
          <w:ilvl w:val="2"/>
          <w:numId w:val="9"/>
        </w:numPr>
        <w:spacing w:before="0" w:after="0" w:line="240" w:lineRule="auto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UEs can use this resource for interference measurement</w:t>
      </w:r>
    </w:p>
    <w:p w:rsidR="001662BA" w:rsidRDefault="00A81296">
      <w:pPr>
        <w:numPr>
          <w:ilvl w:val="2"/>
          <w:numId w:val="9"/>
        </w:numPr>
        <w:spacing w:before="0" w:after="0" w:line="240" w:lineRule="auto"/>
        <w:jc w:val="left"/>
        <w:rPr>
          <w:rFonts w:eastAsia="MS Mincho"/>
          <w:color w:val="0070C0"/>
          <w:szCs w:val="20"/>
          <w:lang w:eastAsia="ja-JP"/>
        </w:rPr>
      </w:pPr>
      <w:r>
        <w:rPr>
          <w:rFonts w:eastAsia="MS Mincho"/>
          <w:szCs w:val="20"/>
          <w:lang w:eastAsia="ja-JP"/>
        </w:rPr>
        <w:t>UE may assume there is no transmission</w:t>
      </w:r>
    </w:p>
    <w:p w:rsidR="001662BA" w:rsidRDefault="00A81296">
      <w:pPr>
        <w:rPr>
          <w:rFonts w:eastAsia="MS Mincho"/>
          <w:lang w:eastAsia="ja-JP"/>
        </w:rPr>
      </w:pPr>
      <w:bookmarkStart w:id="3" w:name="OLE_LINK2"/>
      <w:proofErr w:type="gramStart"/>
      <w:r>
        <w:rPr>
          <w:rFonts w:eastAsia="MS Mincho" w:hint="eastAsia"/>
          <w:highlight w:val="green"/>
          <w:lang w:eastAsia="ja-JP"/>
        </w:rPr>
        <w:lastRenderedPageBreak/>
        <w:t>Agreements</w:t>
      </w:r>
      <w:r>
        <w:rPr>
          <w:rFonts w:eastAsiaTheme="minorEastAsia" w:hint="eastAsia"/>
          <w:highlight w:val="green"/>
        </w:rPr>
        <w:t>(</w:t>
      </w:r>
      <w:proofErr w:type="gramEnd"/>
      <w:r>
        <w:rPr>
          <w:rFonts w:eastAsiaTheme="minorEastAsia" w:hint="eastAsia"/>
          <w:highlight w:val="green"/>
        </w:rPr>
        <w:t>in Ad Hoc2 meeting)</w:t>
      </w:r>
      <w:r>
        <w:rPr>
          <w:rFonts w:eastAsia="MS Mincho" w:hint="eastAsia"/>
          <w:highlight w:val="green"/>
          <w:lang w:eastAsia="ja-JP"/>
        </w:rPr>
        <w:t>:</w:t>
      </w:r>
    </w:p>
    <w:p w:rsidR="001662BA" w:rsidRDefault="00A81296">
      <w:pPr>
        <w:pStyle w:val="ListParagraph2"/>
        <w:numPr>
          <w:ilvl w:val="0"/>
          <w:numId w:val="10"/>
        </w:numPr>
        <w:rPr>
          <w:rFonts w:eastAsia="MS Mincho"/>
        </w:rPr>
      </w:pPr>
      <w:r>
        <w:rPr>
          <w:rFonts w:eastAsia="MS Mincho"/>
        </w:rPr>
        <w:t>In ‘Slot format related information’, ‘Empty’ is not indicated explicitly.</w:t>
      </w:r>
    </w:p>
    <w:p w:rsidR="001662BA" w:rsidRDefault="00A81296">
      <w:pPr>
        <w:pStyle w:val="ListParagraph2"/>
        <w:numPr>
          <w:ilvl w:val="0"/>
          <w:numId w:val="10"/>
        </w:numPr>
        <w:rPr>
          <w:rFonts w:eastAsia="MS Mincho"/>
        </w:rPr>
      </w:pPr>
      <w:r>
        <w:rPr>
          <w:rFonts w:eastAsia="MS Mincho"/>
        </w:rPr>
        <w:t>Note: RAN1 specification ensures that UE(s) is/are aware of which resources can be for ‘gap for DL-UL switching’ and/or ‘gap’</w:t>
      </w:r>
    </w:p>
    <w:p w:rsidR="001662BA" w:rsidRDefault="00A81296">
      <w:pPr>
        <w:pStyle w:val="ListParagraph2"/>
        <w:numPr>
          <w:ilvl w:val="0"/>
          <w:numId w:val="10"/>
        </w:numPr>
        <w:rPr>
          <w:rFonts w:eastAsia="MS Mincho"/>
        </w:rPr>
      </w:pPr>
      <w:r>
        <w:rPr>
          <w:rFonts w:eastAsia="MS Mincho"/>
        </w:rPr>
        <w:t>Note: RAN1 specification ensures that UE(s) is/are aware of which resources are for ‘CSI/interference measurement’.</w:t>
      </w:r>
    </w:p>
    <w:p w:rsidR="001662BA" w:rsidRDefault="00A81296">
      <w:pPr>
        <w:rPr>
          <w:rFonts w:eastAsia="MS Mincho"/>
          <w:lang w:eastAsia="ja-JP"/>
        </w:rPr>
      </w:pPr>
      <w:r>
        <w:rPr>
          <w:rFonts w:eastAsia="MS Mincho" w:hint="eastAsia"/>
          <w:highlight w:val="green"/>
          <w:lang w:eastAsia="ja-JP"/>
        </w:rPr>
        <w:t>Agreements:</w:t>
      </w:r>
    </w:p>
    <w:p w:rsidR="001662BA" w:rsidRDefault="00A81296">
      <w:pPr>
        <w:pStyle w:val="ListParagraph2"/>
        <w:numPr>
          <w:ilvl w:val="0"/>
          <w:numId w:val="11"/>
        </w:numPr>
        <w:rPr>
          <w:rFonts w:eastAsia="MS Mincho"/>
        </w:rPr>
      </w:pPr>
      <w:r>
        <w:rPr>
          <w:rFonts w:eastAsia="MS Mincho"/>
        </w:rPr>
        <w:t>UE is configured with a CORESET to monitor group-common PDCCH.</w:t>
      </w:r>
      <w:r>
        <w:rPr>
          <w:rFonts w:hint="eastAsia"/>
          <w:lang w:eastAsia="zh-CN"/>
        </w:rPr>
        <w:t xml:space="preserve"> </w:t>
      </w:r>
    </w:p>
    <w:p w:rsidR="001662BA" w:rsidRDefault="00A81296">
      <w:pPr>
        <w:pStyle w:val="ListParagraph2"/>
        <w:numPr>
          <w:ilvl w:val="0"/>
          <w:numId w:val="11"/>
        </w:numPr>
        <w:rPr>
          <w:rFonts w:eastAsia="MS Mincho"/>
        </w:rPr>
      </w:pPr>
      <w:r>
        <w:rPr>
          <w:rFonts w:eastAsia="MS Mincho"/>
        </w:rPr>
        <w:t>When configured, the g</w:t>
      </w:r>
      <w:r>
        <w:rPr>
          <w:rFonts w:eastAsia="MS Mincho" w:hint="eastAsia"/>
        </w:rPr>
        <w:t xml:space="preserve">roup-common PDCCH </w:t>
      </w:r>
      <w:r>
        <w:rPr>
          <w:rFonts w:eastAsia="MS Mincho"/>
        </w:rPr>
        <w:t>follows the same CORESET configuration (e.g., REG-to-CCE mapping) of the CORESET.</w:t>
      </w:r>
    </w:p>
    <w:p w:rsidR="001662BA" w:rsidRDefault="00A81296">
      <w:pPr>
        <w:pStyle w:val="ListParagraph2"/>
        <w:numPr>
          <w:ilvl w:val="1"/>
          <w:numId w:val="11"/>
        </w:numPr>
        <w:rPr>
          <w:rFonts w:eastAsia="MS Mincho"/>
        </w:rPr>
      </w:pPr>
      <w:r>
        <w:rPr>
          <w:rFonts w:eastAsia="MS Mincho"/>
        </w:rPr>
        <w:t>A group-common PDCCH is formed by an integer number of CCEs.</w:t>
      </w:r>
    </w:p>
    <w:p w:rsidR="001662BA" w:rsidRDefault="00A81296">
      <w:pPr>
        <w:pStyle w:val="ListParagraph2"/>
        <w:numPr>
          <w:ilvl w:val="0"/>
          <w:numId w:val="11"/>
        </w:numPr>
        <w:rPr>
          <w:rFonts w:eastAsia="MS Mincho"/>
        </w:rPr>
      </w:pPr>
      <w:r>
        <w:rPr>
          <w:rFonts w:eastAsia="MS Mincho"/>
        </w:rPr>
        <w:t xml:space="preserve">The CORESET for the monitored group-common PDCCH carrying SFI can be the same or different from the CORESET for the monitored PDCCH for other types of control </w:t>
      </w:r>
      <w:proofErr w:type="spellStart"/>
      <w:r>
        <w:rPr>
          <w:rFonts w:eastAsia="MS Mincho"/>
        </w:rPr>
        <w:t>signalling</w:t>
      </w:r>
      <w:proofErr w:type="spellEnd"/>
      <w:r>
        <w:rPr>
          <w:rFonts w:eastAsia="MS Mincho"/>
        </w:rPr>
        <w:t>.</w:t>
      </w:r>
      <w:bookmarkEnd w:id="3"/>
    </w:p>
    <w:p w:rsidR="001662BA" w:rsidRDefault="00A81296">
      <w:pPr>
        <w:rPr>
          <w:rFonts w:eastAsia="MS Mincho"/>
          <w:lang w:eastAsia="ja-JP"/>
        </w:rPr>
      </w:pPr>
      <w:r>
        <w:rPr>
          <w:rFonts w:eastAsia="MS Mincho" w:hint="eastAsia"/>
          <w:highlight w:val="green"/>
          <w:lang w:eastAsia="ja-JP"/>
        </w:rPr>
        <w:t>Agreement:</w:t>
      </w:r>
      <w:r>
        <w:rPr>
          <w:rFonts w:eastAsia="MS Mincho"/>
          <w:lang w:eastAsia="ja-JP"/>
        </w:rPr>
        <w:t xml:space="preserve"> </w:t>
      </w:r>
    </w:p>
    <w:p w:rsidR="001662BA" w:rsidRDefault="00A81296">
      <w:pPr>
        <w:pStyle w:val="ListParagraph2"/>
        <w:numPr>
          <w:ilvl w:val="0"/>
          <w:numId w:val="12"/>
        </w:numPr>
      </w:pPr>
      <w:r>
        <w:t>Prioritize discussion of SFI functionality of a group-common PDCCH.</w:t>
      </w:r>
    </w:p>
    <w:p w:rsidR="001662BA" w:rsidRDefault="00A81296">
      <w:pPr>
        <w:pStyle w:val="ListParagraph2"/>
        <w:numPr>
          <w:ilvl w:val="0"/>
          <w:numId w:val="12"/>
        </w:numPr>
      </w:pPr>
      <w:r>
        <w:t>Further work will be on group-common PDCCH carrying the SFI at least in August meeting.</w:t>
      </w:r>
    </w:p>
    <w:p w:rsidR="001662BA" w:rsidRDefault="00A81296">
      <w:pPr>
        <w:rPr>
          <w:rFonts w:eastAsia="MS Mincho"/>
          <w:bCs/>
          <w:u w:val="single"/>
          <w:lang w:eastAsia="ja-JP"/>
        </w:rPr>
      </w:pPr>
      <w:r>
        <w:rPr>
          <w:rFonts w:eastAsia="MS Mincho" w:hint="eastAsia"/>
          <w:bCs/>
          <w:highlight w:val="green"/>
          <w:u w:val="single"/>
          <w:lang w:eastAsia="ja-JP"/>
        </w:rPr>
        <w:t>Agreements:</w:t>
      </w:r>
    </w:p>
    <w:p w:rsidR="001662BA" w:rsidRDefault="00A81296">
      <w:pPr>
        <w:numPr>
          <w:ilvl w:val="0"/>
          <w:numId w:val="13"/>
        </w:numPr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For downlink preemption indication</w:t>
      </w:r>
    </w:p>
    <w:p w:rsidR="001662BA" w:rsidRDefault="00A81296">
      <w:pPr>
        <w:numPr>
          <w:ilvl w:val="1"/>
          <w:numId w:val="13"/>
        </w:numPr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It is transmitted using a group common DCI in PDCCH</w:t>
      </w:r>
    </w:p>
    <w:p w:rsidR="001662BA" w:rsidRDefault="00A81296">
      <w:pPr>
        <w:numPr>
          <w:ilvl w:val="2"/>
          <w:numId w:val="13"/>
        </w:numPr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FFS: This group common DCI is transmitted separately from SFI</w:t>
      </w:r>
    </w:p>
    <w:p w:rsidR="001662BA" w:rsidRDefault="00A81296">
      <w:pPr>
        <w:numPr>
          <w:ilvl w:val="2"/>
          <w:numId w:val="13"/>
        </w:numPr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Whether a UE needs to monitor preemption indication is configured by RRC signaling</w:t>
      </w:r>
    </w:p>
    <w:p w:rsidR="001662BA" w:rsidRDefault="00A81296">
      <w:pPr>
        <w:numPr>
          <w:ilvl w:val="2"/>
          <w:numId w:val="13"/>
        </w:numPr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The granularity of preemption indication in time domain can be configured </w:t>
      </w:r>
    </w:p>
    <w:p w:rsidR="001662BA" w:rsidRDefault="00A81296">
      <w:pPr>
        <w:numPr>
          <w:ilvl w:val="3"/>
          <w:numId w:val="13"/>
        </w:numPr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Details of granularity are FFS</w:t>
      </w:r>
    </w:p>
    <w:p w:rsidR="001662BA" w:rsidRDefault="00A81296">
      <w:r>
        <w:t xml:space="preserve">In this contribution, we discuss our view on the </w:t>
      </w:r>
      <w:r>
        <w:rPr>
          <w:rFonts w:hint="eastAsia"/>
        </w:rPr>
        <w:t>contents for</w:t>
      </w:r>
      <w:r>
        <w:t xml:space="preserve"> the group-common PDCCH as well as some remaining issues. Our views on the </w:t>
      </w:r>
      <w:r>
        <w:rPr>
          <w:rFonts w:hint="eastAsia"/>
        </w:rPr>
        <w:t>structure of Group-common PDCCH</w:t>
      </w:r>
      <w:r>
        <w:t xml:space="preserve"> and </w:t>
      </w:r>
      <w:r>
        <w:rPr>
          <w:rFonts w:hint="eastAsia"/>
        </w:rPr>
        <w:t xml:space="preserve">the </w:t>
      </w:r>
      <w:r>
        <w:t xml:space="preserve">related UE behavior are provided </w:t>
      </w:r>
      <w:proofErr w:type="gramStart"/>
      <w:r>
        <w:t xml:space="preserve">in  </w:t>
      </w:r>
      <w:proofErr w:type="gramEnd"/>
      <w:r w:rsidR="003E0E2D">
        <w:fldChar w:fldCharType="begin"/>
      </w:r>
      <w:r>
        <w:instrText xml:space="preserve"> REF _Ref484943694 \n \h </w:instrText>
      </w:r>
      <w:r w:rsidR="003E0E2D">
        <w:fldChar w:fldCharType="separate"/>
      </w:r>
      <w:r>
        <w:t>[</w:t>
      </w:r>
      <w:r>
        <w:rPr>
          <w:rFonts w:hint="eastAsia"/>
        </w:rPr>
        <w:t>1</w:t>
      </w:r>
      <w:r>
        <w:t>]</w:t>
      </w:r>
      <w:r w:rsidR="003E0E2D">
        <w:fldChar w:fldCharType="end"/>
      </w:r>
      <w:r w:rsidR="003E0E2D">
        <w:fldChar w:fldCharType="begin"/>
      </w:r>
      <w:r>
        <w:instrText xml:space="preserve"> REF _Ref484943695 \n \h </w:instrText>
      </w:r>
      <w:r w:rsidR="003E0E2D">
        <w:fldChar w:fldCharType="separate"/>
      </w:r>
      <w:r>
        <w:t>[</w:t>
      </w:r>
      <w:r>
        <w:rPr>
          <w:rFonts w:hint="eastAsia"/>
        </w:rPr>
        <w:t>2</w:t>
      </w:r>
      <w:r>
        <w:t>]</w:t>
      </w:r>
      <w:r w:rsidR="003E0E2D">
        <w:fldChar w:fldCharType="end"/>
      </w:r>
      <w:r>
        <w:t>.</w:t>
      </w:r>
    </w:p>
    <w:p w:rsidR="001662BA" w:rsidRDefault="00A81296">
      <w:pPr>
        <w:pStyle w:val="Heading1"/>
        <w:rPr>
          <w:rFonts w:eastAsiaTheme="minorEastAsia"/>
          <w:lang w:val="en-US"/>
        </w:rPr>
      </w:pPr>
      <w:r>
        <w:rPr>
          <w:rFonts w:hint="eastAsia"/>
          <w:lang w:val="en-US"/>
        </w:rPr>
        <w:t>Discussion</w:t>
      </w:r>
    </w:p>
    <w:p w:rsidR="001662BA" w:rsidRDefault="00A81296">
      <w:pPr>
        <w:pStyle w:val="Heading2"/>
        <w:ind w:left="576"/>
      </w:pPr>
      <w:bookmarkStart w:id="4" w:name="OLE_LINK1"/>
      <w:r>
        <w:rPr>
          <w:rFonts w:hint="eastAsia"/>
        </w:rPr>
        <w:t>Slot format indication</w:t>
      </w:r>
      <w:r w:rsidR="00C67DAE">
        <w:rPr>
          <w:rFonts w:hint="eastAsia"/>
        </w:rPr>
        <w:t xml:space="preserve"> </w:t>
      </w:r>
      <w:r>
        <w:rPr>
          <w:rFonts w:hint="eastAsia"/>
        </w:rPr>
        <w:t>(SFI)</w:t>
      </w:r>
    </w:p>
    <w:p w:rsidR="001662BA" w:rsidRDefault="00A81296">
      <w:pPr>
        <w:rPr>
          <w:szCs w:val="20"/>
        </w:rPr>
      </w:pPr>
      <w:r>
        <w:rPr>
          <w:rFonts w:hint="eastAsia"/>
        </w:rPr>
        <w:t xml:space="preserve">In order to </w:t>
      </w:r>
      <w:bookmarkStart w:id="5" w:name="OLE_LINK5"/>
      <w:r>
        <w:rPr>
          <w:rFonts w:hint="eastAsia"/>
        </w:rPr>
        <w:t xml:space="preserve">distinguish </w:t>
      </w:r>
      <w:bookmarkEnd w:id="5"/>
      <w:r>
        <w:rPr>
          <w:rFonts w:hint="eastAsia"/>
        </w:rPr>
        <w:t xml:space="preserve">different </w:t>
      </w:r>
      <w:r>
        <w:t>‘</w:t>
      </w:r>
      <w:r>
        <w:rPr>
          <w:rFonts w:hint="eastAsia"/>
        </w:rPr>
        <w:t>DL</w:t>
      </w:r>
      <w:r>
        <w:t>’</w:t>
      </w:r>
      <w:r>
        <w:rPr>
          <w:rFonts w:hint="eastAsia"/>
        </w:rPr>
        <w:t xml:space="preserve">, </w:t>
      </w:r>
      <w:r>
        <w:t>‘</w:t>
      </w:r>
      <w:r>
        <w:rPr>
          <w:rFonts w:hint="eastAsia"/>
        </w:rPr>
        <w:t>UL</w:t>
      </w:r>
      <w:r>
        <w:t>’</w:t>
      </w:r>
      <w:r>
        <w:rPr>
          <w:rFonts w:hint="eastAsia"/>
        </w:rPr>
        <w:t xml:space="preserve">, and </w:t>
      </w:r>
      <w:r>
        <w:t>‘</w:t>
      </w:r>
      <w:r>
        <w:rPr>
          <w:rFonts w:hint="eastAsia"/>
        </w:rPr>
        <w:t>Other</w:t>
      </w:r>
      <w:r>
        <w:t>’</w:t>
      </w:r>
      <w:r>
        <w:rPr>
          <w:rFonts w:hint="eastAsia"/>
        </w:rPr>
        <w:t xml:space="preserve"> OFDM symbol combinations, s</w:t>
      </w:r>
      <w:r>
        <w:rPr>
          <w:lang w:eastAsia="ko-KR"/>
        </w:rPr>
        <w:t xml:space="preserve">lot pattern can be used for the </w:t>
      </w:r>
      <w:r>
        <w:rPr>
          <w:rFonts w:hint="eastAsia"/>
        </w:rPr>
        <w:t>SFI</w:t>
      </w:r>
      <w:r>
        <w:rPr>
          <w:lang w:eastAsia="ko-KR"/>
        </w:rPr>
        <w:t xml:space="preserve"> content</w:t>
      </w:r>
      <w:r w:rsidR="00C70835">
        <w:rPr>
          <w:rFonts w:hint="eastAsia"/>
        </w:rPr>
        <w:t xml:space="preserve">. Considering </w:t>
      </w:r>
      <w:r>
        <w:rPr>
          <w:rFonts w:hint="eastAsia"/>
        </w:rPr>
        <w:t>all possible combinations, the allowed SFI pattern number can be huge</w:t>
      </w:r>
      <w:r w:rsidR="00C70835">
        <w:rPr>
          <w:rFonts w:hint="eastAsia"/>
        </w:rPr>
        <w:t xml:space="preserve">. But </w:t>
      </w:r>
      <w:r>
        <w:rPr>
          <w:rFonts w:hint="eastAsia"/>
        </w:rPr>
        <w:t>for one UE or for a certain scenario, not all combinations are necessary</w:t>
      </w:r>
      <w:r w:rsidR="00C70835">
        <w:rPr>
          <w:rFonts w:hint="eastAsia"/>
        </w:rPr>
        <w:t xml:space="preserve">. </w:t>
      </w:r>
      <w:proofErr w:type="gramStart"/>
      <w:r w:rsidR="00C70835">
        <w:rPr>
          <w:rFonts w:hint="eastAsia"/>
        </w:rPr>
        <w:t>gNB</w:t>
      </w:r>
      <w:proofErr w:type="gramEnd"/>
      <w:r w:rsidR="00C70835">
        <w:rPr>
          <w:rFonts w:hint="eastAsia"/>
        </w:rPr>
        <w:t xml:space="preserve"> </w:t>
      </w:r>
      <w:r>
        <w:rPr>
          <w:rFonts w:hint="eastAsia"/>
        </w:rPr>
        <w:t>can configure a</w:t>
      </w:r>
      <w:r>
        <w:rPr>
          <w:szCs w:val="20"/>
        </w:rPr>
        <w:t xml:space="preserve"> subset of </w:t>
      </w:r>
      <w:r>
        <w:rPr>
          <w:rFonts w:hint="eastAsia"/>
          <w:szCs w:val="20"/>
        </w:rPr>
        <w:t>SFI patterns</w:t>
      </w:r>
      <w:r>
        <w:rPr>
          <w:szCs w:val="20"/>
        </w:rPr>
        <w:t xml:space="preserve"> among the allowed </w:t>
      </w:r>
      <w:r>
        <w:rPr>
          <w:rFonts w:hint="eastAsia"/>
          <w:szCs w:val="20"/>
        </w:rPr>
        <w:t>SFI patterns</w:t>
      </w:r>
      <w:r w:rsidR="00C70835">
        <w:rPr>
          <w:rFonts w:hint="eastAsia"/>
          <w:szCs w:val="20"/>
        </w:rPr>
        <w:t>. Consequently</w:t>
      </w:r>
      <w:r>
        <w:rPr>
          <w:rFonts w:hint="eastAsia"/>
          <w:szCs w:val="20"/>
        </w:rPr>
        <w:t xml:space="preserve">, for different UE, or for the same UE at different time period, SFI pattern 0 may represent different OFDM symbol combinations. </w:t>
      </w:r>
    </w:p>
    <w:p w:rsidR="00000000" w:rsidRDefault="00A81296">
      <w:pPr>
        <w:rPr>
          <w:szCs w:val="20"/>
        </w:rPr>
      </w:pPr>
      <w:r>
        <w:rPr>
          <w:rFonts w:hint="eastAsia"/>
          <w:szCs w:val="20"/>
        </w:rPr>
        <w:t xml:space="preserve">To reduce the configuration complexity, all configured SFI patterns should indicate the uniform time unit, </w:t>
      </w:r>
      <w:proofErr w:type="spellStart"/>
      <w:r w:rsidR="00C70835">
        <w:rPr>
          <w:rFonts w:hint="eastAsia"/>
          <w:szCs w:val="20"/>
        </w:rPr>
        <w:t>e.g</w:t>
      </w:r>
      <w:proofErr w:type="spellEnd"/>
      <w:r w:rsidR="00C70835">
        <w:rPr>
          <w:rFonts w:hint="eastAsia"/>
          <w:szCs w:val="20"/>
        </w:rPr>
        <w:t xml:space="preserve"> </w:t>
      </w:r>
      <w:r>
        <w:rPr>
          <w:rFonts w:hint="eastAsia"/>
          <w:szCs w:val="20"/>
        </w:rPr>
        <w:t>one slot</w:t>
      </w:r>
      <w:r w:rsidR="00C70835">
        <w:rPr>
          <w:rFonts w:hint="eastAsia"/>
          <w:szCs w:val="20"/>
        </w:rPr>
        <w:t xml:space="preserve">. For </w:t>
      </w:r>
      <w:r>
        <w:rPr>
          <w:rFonts w:hint="eastAsia"/>
          <w:szCs w:val="20"/>
        </w:rPr>
        <w:t>the valid duration of the SFI pattern, we believe there is no need to indicate the SFI pattern</w:t>
      </w:r>
      <w:r>
        <w:rPr>
          <w:szCs w:val="20"/>
        </w:rPr>
        <w:t>’</w:t>
      </w:r>
      <w:r>
        <w:rPr>
          <w:rFonts w:hint="eastAsia"/>
          <w:szCs w:val="20"/>
        </w:rPr>
        <w:t>s valid duration dynamically</w:t>
      </w:r>
      <w:r w:rsidR="00C70835">
        <w:rPr>
          <w:rFonts w:hint="eastAsia"/>
          <w:szCs w:val="20"/>
        </w:rPr>
        <w:t xml:space="preserve">. By </w:t>
      </w:r>
      <w:r>
        <w:rPr>
          <w:rFonts w:hint="eastAsia"/>
          <w:szCs w:val="20"/>
        </w:rPr>
        <w:t>configuring the suitable values for the valid duration and the SFI monitor occasion</w:t>
      </w:r>
      <w:r w:rsidR="00C70835">
        <w:rPr>
          <w:rFonts w:hint="eastAsia"/>
          <w:szCs w:val="20"/>
        </w:rPr>
        <w:t xml:space="preserve"> (periodicity)</w:t>
      </w:r>
      <w:r>
        <w:rPr>
          <w:rFonts w:hint="eastAsia"/>
          <w:szCs w:val="20"/>
        </w:rPr>
        <w:t>, different requirements can be met. Usually, the valid duration can be the same or longer than SFI monitor occasion</w:t>
      </w:r>
      <w:r w:rsidR="00C70835">
        <w:rPr>
          <w:rFonts w:hint="eastAsia"/>
          <w:szCs w:val="20"/>
        </w:rPr>
        <w:t>. T</w:t>
      </w:r>
      <w:r>
        <w:rPr>
          <w:rFonts w:hint="eastAsia"/>
          <w:szCs w:val="20"/>
        </w:rPr>
        <w:t xml:space="preserve">he latter </w:t>
      </w:r>
      <w:r w:rsidR="00C70835">
        <w:rPr>
          <w:rFonts w:hint="eastAsia"/>
          <w:szCs w:val="20"/>
        </w:rPr>
        <w:t>alternative</w:t>
      </w:r>
      <w:r>
        <w:rPr>
          <w:rFonts w:hint="eastAsia"/>
          <w:szCs w:val="20"/>
        </w:rPr>
        <w:t xml:space="preserve"> can determine the real valid duration more </w:t>
      </w:r>
      <w:bookmarkStart w:id="6" w:name="OLE_LINK12"/>
      <w:r>
        <w:rPr>
          <w:rFonts w:hint="eastAsia"/>
          <w:szCs w:val="20"/>
        </w:rPr>
        <w:t>flexibly</w:t>
      </w:r>
      <w:bookmarkEnd w:id="6"/>
      <w:r>
        <w:rPr>
          <w:rFonts w:hint="eastAsia"/>
          <w:szCs w:val="20"/>
        </w:rPr>
        <w:t>.</w:t>
      </w:r>
    </w:p>
    <w:p w:rsidR="001662BA" w:rsidRPr="00D405C9" w:rsidRDefault="00A81296">
      <w:pPr>
        <w:rPr>
          <w:b/>
          <w:szCs w:val="20"/>
        </w:rPr>
      </w:pPr>
      <w:r w:rsidRPr="00D405C9">
        <w:rPr>
          <w:rFonts w:hint="eastAsia"/>
          <w:b/>
          <w:szCs w:val="20"/>
        </w:rPr>
        <w:t>Proposal</w:t>
      </w:r>
      <w:r w:rsidR="00D600C5">
        <w:rPr>
          <w:rFonts w:hint="eastAsia"/>
          <w:b/>
          <w:szCs w:val="20"/>
        </w:rPr>
        <w:t xml:space="preserve"> </w:t>
      </w:r>
      <w:r w:rsidRPr="00D405C9">
        <w:rPr>
          <w:rFonts w:hint="eastAsia"/>
          <w:b/>
          <w:szCs w:val="20"/>
        </w:rPr>
        <w:t>1</w:t>
      </w:r>
      <w:r w:rsidR="00D600C5">
        <w:rPr>
          <w:rFonts w:hint="eastAsia"/>
          <w:b/>
          <w:szCs w:val="20"/>
        </w:rPr>
        <w:t xml:space="preserve">: </w:t>
      </w:r>
      <w:r w:rsidRPr="00D405C9">
        <w:rPr>
          <w:rFonts w:hint="eastAsia"/>
          <w:b/>
          <w:szCs w:val="20"/>
        </w:rPr>
        <w:t xml:space="preserve"> SFI </w:t>
      </w:r>
      <w:r w:rsidR="00C70835" w:rsidRPr="00D405C9">
        <w:rPr>
          <w:rFonts w:hint="eastAsia"/>
          <w:b/>
          <w:szCs w:val="20"/>
        </w:rPr>
        <w:t xml:space="preserve">indication can indicate a </w:t>
      </w:r>
      <w:r w:rsidRPr="00D405C9">
        <w:rPr>
          <w:rFonts w:hint="eastAsia"/>
          <w:b/>
          <w:szCs w:val="20"/>
        </w:rPr>
        <w:t xml:space="preserve">pattern </w:t>
      </w:r>
      <w:r w:rsidR="00C70835" w:rsidRPr="00D405C9">
        <w:rPr>
          <w:rFonts w:hint="eastAsia"/>
          <w:b/>
          <w:szCs w:val="20"/>
        </w:rPr>
        <w:t xml:space="preserve">in time. </w:t>
      </w:r>
      <w:r w:rsidR="003F2AD7" w:rsidRPr="00D405C9">
        <w:rPr>
          <w:rFonts w:hint="eastAsia"/>
          <w:b/>
          <w:szCs w:val="20"/>
        </w:rPr>
        <w:t>T</w:t>
      </w:r>
      <w:r w:rsidRPr="00D405C9">
        <w:rPr>
          <w:rFonts w:hint="eastAsia"/>
          <w:b/>
          <w:szCs w:val="20"/>
        </w:rPr>
        <w:t>ime unit</w:t>
      </w:r>
      <w:r w:rsidR="003F2AD7" w:rsidRPr="00D405C9">
        <w:rPr>
          <w:rFonts w:hint="eastAsia"/>
          <w:b/>
          <w:szCs w:val="20"/>
        </w:rPr>
        <w:t xml:space="preserve"> of the pattern could be a slot.</w:t>
      </w:r>
    </w:p>
    <w:p w:rsidR="00A81296" w:rsidRDefault="00A81296">
      <w:r>
        <w:rPr>
          <w:rFonts w:hint="eastAsia"/>
        </w:rPr>
        <w:lastRenderedPageBreak/>
        <w:t xml:space="preserve">Considering the requirements for the preprocessing of UL transmission and the </w:t>
      </w:r>
      <w:r w:rsidR="003836FB">
        <w:rPr>
          <w:rFonts w:hint="eastAsia"/>
        </w:rPr>
        <w:t>cross slot scheduling</w:t>
      </w:r>
      <w:r>
        <w:rPr>
          <w:rFonts w:hint="eastAsia"/>
        </w:rPr>
        <w:t xml:space="preserve">, an additional SFI pattern(s) for the future </w:t>
      </w:r>
      <w:r w:rsidR="003F2AD7">
        <w:rPr>
          <w:rFonts w:hint="eastAsia"/>
        </w:rPr>
        <w:t>could be</w:t>
      </w:r>
      <w:r>
        <w:rPr>
          <w:rFonts w:hint="eastAsia"/>
        </w:rPr>
        <w:t xml:space="preserve"> </w:t>
      </w:r>
      <w:r w:rsidR="003F2AD7">
        <w:rPr>
          <w:rFonts w:hint="eastAsia"/>
        </w:rPr>
        <w:t>s</w:t>
      </w:r>
      <w:r>
        <w:rPr>
          <w:rFonts w:hint="eastAsia"/>
        </w:rPr>
        <w:t>en</w:t>
      </w:r>
      <w:r w:rsidR="003F2AD7">
        <w:rPr>
          <w:rFonts w:hint="eastAsia"/>
        </w:rPr>
        <w:t>t.</w:t>
      </w:r>
      <w:r>
        <w:rPr>
          <w:rFonts w:hint="eastAsia"/>
        </w:rPr>
        <w:t xml:space="preserve"> </w:t>
      </w:r>
      <w:r w:rsidR="003F2AD7">
        <w:rPr>
          <w:rFonts w:hint="eastAsia"/>
        </w:rPr>
        <w:t>I</w:t>
      </w:r>
      <w:r>
        <w:rPr>
          <w:rFonts w:hint="eastAsia"/>
        </w:rPr>
        <w:t>n this case, for the additional SFI pattern(s), there should be the corresponding scheduling grant sent to the UE</w:t>
      </w:r>
      <w:r w:rsidR="003F2AD7">
        <w:rPr>
          <w:rFonts w:hint="eastAsia"/>
        </w:rPr>
        <w:t>.</w:t>
      </w:r>
      <w:r>
        <w:rPr>
          <w:rFonts w:hint="eastAsia"/>
        </w:rPr>
        <w:t xml:space="preserve"> Since SFI is the </w:t>
      </w:r>
      <w:bookmarkStart w:id="7" w:name="OLE_LINK14"/>
      <w:r>
        <w:rPr>
          <w:rFonts w:hint="eastAsia"/>
        </w:rPr>
        <w:t xml:space="preserve">instruction </w:t>
      </w:r>
      <w:bookmarkEnd w:id="7"/>
      <w:r>
        <w:rPr>
          <w:rFonts w:hint="eastAsia"/>
        </w:rPr>
        <w:t xml:space="preserve">of slot structure, it is naturally associated with </w:t>
      </w:r>
      <w:proofErr w:type="gramStart"/>
      <w:r w:rsidR="008079AE">
        <w:rPr>
          <w:rFonts w:hint="eastAsia"/>
        </w:rPr>
        <w:t>a</w:t>
      </w:r>
      <w:r>
        <w:rPr>
          <w:rFonts w:hint="eastAsia"/>
        </w:rPr>
        <w:t xml:space="preserve"> numerology</w:t>
      </w:r>
      <w:proofErr w:type="gramEnd"/>
      <w:r w:rsidR="008079AE">
        <w:rPr>
          <w:rFonts w:hint="eastAsia"/>
        </w:rPr>
        <w:t>.</w:t>
      </w:r>
      <w:r>
        <w:rPr>
          <w:rFonts w:hint="eastAsia"/>
        </w:rPr>
        <w:t xml:space="preserve"> </w:t>
      </w:r>
      <w:proofErr w:type="gramStart"/>
      <w:r w:rsidR="008079AE">
        <w:rPr>
          <w:rFonts w:hint="eastAsia"/>
        </w:rPr>
        <w:t>A</w:t>
      </w:r>
      <w:r>
        <w:rPr>
          <w:rFonts w:hint="eastAsia"/>
        </w:rPr>
        <w:t xml:space="preserve"> numerology</w:t>
      </w:r>
      <w:proofErr w:type="gramEnd"/>
      <w:r>
        <w:rPr>
          <w:rFonts w:hint="eastAsia"/>
        </w:rPr>
        <w:t xml:space="preserve"> determines the number of OFDM symbols for one slot and the length of OFDM symbol</w:t>
      </w:r>
      <w:r w:rsidR="008079AE">
        <w:rPr>
          <w:rFonts w:hint="eastAsia"/>
        </w:rPr>
        <w:t>.</w:t>
      </w:r>
      <w:r>
        <w:rPr>
          <w:rFonts w:hint="eastAsia"/>
        </w:rPr>
        <w:t xml:space="preserve"> When UE received a SFI pattern, UE should according to the SFI pattern to determine a slot structure corresponding to a given Numerology</w:t>
      </w:r>
      <w:r w:rsidR="008079AE">
        <w:rPr>
          <w:rFonts w:hint="eastAsia"/>
        </w:rPr>
        <w:t>.</w:t>
      </w:r>
      <w:r>
        <w:rPr>
          <w:rFonts w:hint="eastAsia"/>
        </w:rPr>
        <w:t xml:space="preserve"> </w:t>
      </w:r>
      <w:r w:rsidR="008079AE">
        <w:rPr>
          <w:rFonts w:hint="eastAsia"/>
        </w:rPr>
        <w:t>I</w:t>
      </w:r>
      <w:r>
        <w:rPr>
          <w:rFonts w:hint="eastAsia"/>
        </w:rPr>
        <w:t>t has been agreed that the BWP</w:t>
      </w:r>
      <w:r w:rsidR="003836FB">
        <w:t>’</w:t>
      </w:r>
      <w:r w:rsidR="003836FB">
        <w:rPr>
          <w:rFonts w:hint="eastAsia"/>
        </w:rPr>
        <w:t>s</w:t>
      </w:r>
      <w:r>
        <w:rPr>
          <w:rFonts w:hint="eastAsia"/>
        </w:rPr>
        <w:t xml:space="preserve"> Numerology should be used for the PDCCH/PUCCH, PDSCH/PUSCH, and the corresponding DMRS within the BWP</w:t>
      </w:r>
      <w:r w:rsidR="008079AE">
        <w:rPr>
          <w:rFonts w:hint="eastAsia"/>
        </w:rPr>
        <w:t>.</w:t>
      </w:r>
      <w:r>
        <w:rPr>
          <w:rFonts w:hint="eastAsia"/>
        </w:rPr>
        <w:t xml:space="preserve"> </w:t>
      </w:r>
      <w:r w:rsidR="00E77855">
        <w:rPr>
          <w:rFonts w:hint="eastAsia"/>
        </w:rPr>
        <w:t>I</w:t>
      </w:r>
      <w:r>
        <w:rPr>
          <w:rFonts w:hint="eastAsia"/>
        </w:rPr>
        <w:t>f only one SFI indicated, t</w:t>
      </w:r>
      <w:r w:rsidR="003836FB">
        <w:rPr>
          <w:rFonts w:hint="eastAsia"/>
        </w:rPr>
        <w:t>he UE</w:t>
      </w:r>
      <w:r>
        <w:rPr>
          <w:rFonts w:hint="eastAsia"/>
        </w:rPr>
        <w:t xml:space="preserve"> should understand the SFI for multiple BWPs</w:t>
      </w:r>
      <w:r w:rsidR="00E77855">
        <w:rPr>
          <w:rFonts w:hint="eastAsia"/>
        </w:rPr>
        <w:t>.</w:t>
      </w:r>
      <w:r>
        <w:rPr>
          <w:rFonts w:hint="eastAsia"/>
        </w:rPr>
        <w:t xml:space="preserve"> </w:t>
      </w:r>
      <w:r w:rsidR="00E77855">
        <w:rPr>
          <w:rFonts w:hint="eastAsia"/>
        </w:rPr>
        <w:t>T</w:t>
      </w:r>
      <w:r>
        <w:rPr>
          <w:rFonts w:hint="eastAsia"/>
        </w:rPr>
        <w:t>hese multiple BWPs</w:t>
      </w:r>
      <w:r>
        <w:t>’</w:t>
      </w:r>
      <w:r>
        <w:rPr>
          <w:rFonts w:hint="eastAsia"/>
        </w:rPr>
        <w:t xml:space="preserve"> Numerolog</w:t>
      </w:r>
      <w:r w:rsidR="00E77855">
        <w:rPr>
          <w:rFonts w:hint="eastAsia"/>
        </w:rPr>
        <w:t>ies</w:t>
      </w:r>
      <w:r>
        <w:rPr>
          <w:rFonts w:hint="eastAsia"/>
        </w:rPr>
        <w:t xml:space="preserve"> may </w:t>
      </w:r>
      <w:r w:rsidR="00E77855">
        <w:rPr>
          <w:rFonts w:hint="eastAsia"/>
        </w:rPr>
        <w:t xml:space="preserve">or may not </w:t>
      </w:r>
      <w:r>
        <w:rPr>
          <w:rFonts w:hint="eastAsia"/>
        </w:rPr>
        <w:t>be same</w:t>
      </w:r>
      <w:r w:rsidR="00E77855">
        <w:rPr>
          <w:rFonts w:hint="eastAsia"/>
        </w:rPr>
        <w:t>.</w:t>
      </w:r>
      <w:r>
        <w:rPr>
          <w:rFonts w:hint="eastAsia"/>
        </w:rPr>
        <w:t xml:space="preserve"> </w:t>
      </w:r>
      <w:r w:rsidR="00E77855">
        <w:rPr>
          <w:rFonts w:hint="eastAsia"/>
        </w:rPr>
        <w:t>P</w:t>
      </w:r>
      <w:r>
        <w:rPr>
          <w:rFonts w:hint="eastAsia"/>
        </w:rPr>
        <w:t xml:space="preserve">rinciple should be necessary for one SFI </w:t>
      </w:r>
      <w:r w:rsidR="00E77855">
        <w:rPr>
          <w:rFonts w:hint="eastAsia"/>
        </w:rPr>
        <w:t>indicated</w:t>
      </w:r>
      <w:r>
        <w:rPr>
          <w:rFonts w:hint="eastAsia"/>
        </w:rPr>
        <w:t xml:space="preserve"> to multiple Numerologies</w:t>
      </w:r>
      <w:r w:rsidR="00E77855">
        <w:rPr>
          <w:rFonts w:hint="eastAsia"/>
        </w:rPr>
        <w:t>.</w:t>
      </w:r>
      <w:r>
        <w:rPr>
          <w:rFonts w:hint="eastAsia"/>
        </w:rPr>
        <w:t xml:space="preserve"> </w:t>
      </w:r>
      <w:r w:rsidR="00E77855">
        <w:rPr>
          <w:rFonts w:hint="eastAsia"/>
        </w:rPr>
        <w:t xml:space="preserve">The </w:t>
      </w:r>
      <w:r>
        <w:rPr>
          <w:rFonts w:hint="eastAsia"/>
        </w:rPr>
        <w:t>rule can also be the OFDM symbol number alignment</w:t>
      </w:r>
      <w:r w:rsidR="00E77855">
        <w:rPr>
          <w:rFonts w:hint="eastAsia"/>
        </w:rPr>
        <w:t>. This will</w:t>
      </w:r>
      <w:r>
        <w:rPr>
          <w:rFonts w:hint="eastAsia"/>
        </w:rPr>
        <w:t xml:space="preserve"> guarantee the fixed ratio of DL/UL transmission between the </w:t>
      </w:r>
      <w:bookmarkStart w:id="8" w:name="OLE_LINK15"/>
      <w:r>
        <w:rPr>
          <w:rFonts w:hint="eastAsia"/>
        </w:rPr>
        <w:t>non-adjacent</w:t>
      </w:r>
      <w:bookmarkEnd w:id="8"/>
      <w:r>
        <w:rPr>
          <w:rFonts w:hint="eastAsia"/>
        </w:rPr>
        <w:t xml:space="preserve"> BWPs. </w:t>
      </w:r>
    </w:p>
    <w:p w:rsidR="001662BA" w:rsidRDefault="003E0E2D">
      <w:pPr>
        <w:rPr>
          <w:szCs w:val="20"/>
        </w:rPr>
      </w:pPr>
      <w:bookmarkStart w:id="9" w:name="_GoBack"/>
      <w:r w:rsidRPr="003E0E2D">
        <w:rPr>
          <w:b/>
          <w:bCs/>
        </w:rPr>
        <w:t>Proposal</w:t>
      </w:r>
      <w:r w:rsidR="00A81296">
        <w:rPr>
          <w:rFonts w:hint="eastAsia"/>
          <w:b/>
          <w:bCs/>
        </w:rPr>
        <w:t xml:space="preserve"> </w:t>
      </w:r>
      <w:r w:rsidR="00C93220">
        <w:rPr>
          <w:rFonts w:hint="eastAsia"/>
          <w:b/>
          <w:bCs/>
        </w:rPr>
        <w:t>2</w:t>
      </w:r>
      <w:r w:rsidRPr="003E0E2D">
        <w:rPr>
          <w:b/>
          <w:bCs/>
        </w:rPr>
        <w:t xml:space="preserve">: </w:t>
      </w:r>
      <w:r w:rsidR="00E475B0">
        <w:rPr>
          <w:rFonts w:hint="eastAsia"/>
          <w:b/>
          <w:bCs/>
        </w:rPr>
        <w:t xml:space="preserve">A </w:t>
      </w:r>
      <w:r w:rsidR="00E475B0" w:rsidRPr="00D405C9">
        <w:rPr>
          <w:rFonts w:hint="eastAsia"/>
          <w:b/>
          <w:szCs w:val="20"/>
        </w:rPr>
        <w:t xml:space="preserve">SFI indication </w:t>
      </w:r>
      <w:r w:rsidR="00E475B0">
        <w:rPr>
          <w:rFonts w:hint="eastAsia"/>
          <w:b/>
          <w:szCs w:val="20"/>
        </w:rPr>
        <w:t xml:space="preserve">can be for multiple BWPs. </w:t>
      </w:r>
      <w:r w:rsidRPr="003E0E2D">
        <w:rPr>
          <w:b/>
          <w:bCs/>
        </w:rPr>
        <w:t xml:space="preserve">UE </w:t>
      </w:r>
      <w:r w:rsidR="00A81296">
        <w:rPr>
          <w:rFonts w:hint="eastAsia"/>
          <w:b/>
          <w:bCs/>
        </w:rPr>
        <w:t>should</w:t>
      </w:r>
      <w:r w:rsidRPr="003E0E2D">
        <w:rPr>
          <w:b/>
          <w:bCs/>
        </w:rPr>
        <w:t xml:space="preserve"> determine </w:t>
      </w:r>
      <w:r w:rsidR="00D405C9">
        <w:rPr>
          <w:rFonts w:hint="eastAsia"/>
          <w:b/>
          <w:bCs/>
        </w:rPr>
        <w:t>a</w:t>
      </w:r>
      <w:r w:rsidRPr="003E0E2D">
        <w:rPr>
          <w:b/>
          <w:bCs/>
        </w:rPr>
        <w:t xml:space="preserve"> target BWP</w:t>
      </w:r>
      <w:r w:rsidR="003836FB">
        <w:rPr>
          <w:b/>
          <w:bCs/>
        </w:rPr>
        <w:t>’</w:t>
      </w:r>
      <w:r w:rsidRPr="003E0E2D">
        <w:rPr>
          <w:b/>
          <w:bCs/>
        </w:rPr>
        <w:t xml:space="preserve">s slot </w:t>
      </w:r>
      <w:r w:rsidR="000275DA">
        <w:rPr>
          <w:rFonts w:hint="eastAsia"/>
          <w:b/>
          <w:bCs/>
        </w:rPr>
        <w:t xml:space="preserve">time </w:t>
      </w:r>
      <w:r w:rsidRPr="003E0E2D">
        <w:rPr>
          <w:b/>
          <w:bCs/>
        </w:rPr>
        <w:t>structure</w:t>
      </w:r>
      <w:r w:rsidR="000275DA">
        <w:rPr>
          <w:rFonts w:hint="eastAsia"/>
          <w:b/>
          <w:bCs/>
        </w:rPr>
        <w:t xml:space="preserve"> based on </w:t>
      </w:r>
      <w:r w:rsidR="00D405C9">
        <w:rPr>
          <w:rFonts w:hint="eastAsia"/>
          <w:b/>
          <w:bCs/>
        </w:rPr>
        <w:t>symbol duration/SCS ratio of</w:t>
      </w:r>
      <w:r w:rsidR="000275DA">
        <w:rPr>
          <w:rFonts w:hint="eastAsia"/>
          <w:b/>
          <w:bCs/>
        </w:rPr>
        <w:t xml:space="preserve"> SFI</w:t>
      </w:r>
      <w:r w:rsidR="00D405C9">
        <w:rPr>
          <w:rFonts w:hint="eastAsia"/>
          <w:b/>
          <w:bCs/>
        </w:rPr>
        <w:t xml:space="preserve"> numerology</w:t>
      </w:r>
      <w:r w:rsidR="000275DA">
        <w:rPr>
          <w:rFonts w:hint="eastAsia"/>
          <w:b/>
          <w:bCs/>
        </w:rPr>
        <w:t xml:space="preserve"> and the target numerology.</w:t>
      </w:r>
      <w:r w:rsidRPr="003E0E2D">
        <w:rPr>
          <w:b/>
          <w:bCs/>
        </w:rPr>
        <w:t xml:space="preserve">  </w:t>
      </w:r>
      <w:bookmarkEnd w:id="9"/>
      <w:r w:rsidR="00A81296">
        <w:rPr>
          <w:rFonts w:hint="eastAsia"/>
        </w:rPr>
        <w:t xml:space="preserve"> </w:t>
      </w:r>
    </w:p>
    <w:p w:rsidR="001662BA" w:rsidRDefault="00A81296">
      <w:pPr>
        <w:pStyle w:val="Heading2"/>
        <w:ind w:left="576"/>
        <w:rPr>
          <w:rFonts w:eastAsiaTheme="minorEastAsia"/>
          <w:szCs w:val="20"/>
        </w:rPr>
      </w:pPr>
      <w:bookmarkStart w:id="10" w:name="OLE_LINK4"/>
      <w:bookmarkEnd w:id="4"/>
      <w:r>
        <w:rPr>
          <w:rFonts w:eastAsiaTheme="minorEastAsia" w:hint="eastAsia"/>
          <w:szCs w:val="20"/>
        </w:rPr>
        <w:t>Preemption indication</w:t>
      </w:r>
      <w:r w:rsidR="00E77855">
        <w:rPr>
          <w:rFonts w:eastAsiaTheme="minorEastAsia" w:hint="eastAsia"/>
          <w:szCs w:val="20"/>
        </w:rPr>
        <w:t xml:space="preserve"> </w:t>
      </w:r>
      <w:r>
        <w:rPr>
          <w:rFonts w:eastAsiaTheme="minorEastAsia" w:hint="eastAsia"/>
          <w:szCs w:val="20"/>
        </w:rPr>
        <w:t>(PI)</w:t>
      </w:r>
    </w:p>
    <w:p w:rsidR="005067A8" w:rsidRDefault="005067A8">
      <w:pPr>
        <w:rPr>
          <w:rFonts w:eastAsiaTheme="minorEastAsia"/>
          <w:szCs w:val="20"/>
        </w:rPr>
      </w:pPr>
      <w:r>
        <w:rPr>
          <w:rFonts w:eastAsiaTheme="minorEastAsia"/>
          <w:szCs w:val="20"/>
        </w:rPr>
        <w:t>Preemption</w:t>
      </w:r>
      <w:r>
        <w:rPr>
          <w:rFonts w:eastAsiaTheme="minorEastAsia" w:hint="eastAsia"/>
          <w:szCs w:val="20"/>
        </w:rPr>
        <w:t xml:space="preserve"> indication driven by multiplexing of different transmission </w:t>
      </w:r>
      <w:r>
        <w:rPr>
          <w:rFonts w:eastAsiaTheme="minorEastAsia"/>
          <w:szCs w:val="20"/>
        </w:rPr>
        <w:t>duration</w:t>
      </w:r>
      <w:r>
        <w:rPr>
          <w:rFonts w:eastAsiaTheme="minorEastAsia" w:hint="eastAsia"/>
          <w:szCs w:val="20"/>
        </w:rPr>
        <w:t xml:space="preserve"> is supported with several </w:t>
      </w:r>
      <w:r>
        <w:rPr>
          <w:rFonts w:eastAsiaTheme="minorEastAsia"/>
          <w:szCs w:val="20"/>
        </w:rPr>
        <w:t>candidate</w:t>
      </w:r>
      <w:r>
        <w:rPr>
          <w:rFonts w:eastAsiaTheme="minorEastAsia" w:hint="eastAsia"/>
          <w:szCs w:val="20"/>
        </w:rPr>
        <w:t xml:space="preserve"> </w:t>
      </w:r>
      <w:r w:rsidR="00A81296">
        <w:rPr>
          <w:rFonts w:eastAsiaTheme="minorEastAsia"/>
          <w:szCs w:val="20"/>
        </w:rPr>
        <w:t>schemes</w:t>
      </w:r>
      <w:r>
        <w:rPr>
          <w:rFonts w:eastAsiaTheme="minorEastAsia" w:hint="eastAsia"/>
          <w:szCs w:val="20"/>
        </w:rPr>
        <w:t>.</w:t>
      </w:r>
    </w:p>
    <w:p w:rsidR="005067A8" w:rsidRDefault="005067A8" w:rsidP="005067A8">
      <w:pPr>
        <w:pStyle w:val="10"/>
        <w:numPr>
          <w:ilvl w:val="0"/>
          <w:numId w:val="14"/>
        </w:numPr>
        <w:ind w:firstLineChars="0"/>
      </w:pPr>
      <w:r>
        <w:rPr>
          <w:rFonts w:hint="eastAsia"/>
        </w:rPr>
        <w:t xml:space="preserve">Option1: Indicated in the end of the </w:t>
      </w:r>
      <w:r>
        <w:t>punctured</w:t>
      </w:r>
      <w:r>
        <w:rPr>
          <w:rFonts w:hint="eastAsia"/>
        </w:rPr>
        <w:t xml:space="preserve"> slot </w:t>
      </w:r>
    </w:p>
    <w:p w:rsidR="005067A8" w:rsidRDefault="005067A8" w:rsidP="005067A8">
      <w:pPr>
        <w:pStyle w:val="10"/>
        <w:numPr>
          <w:ilvl w:val="0"/>
          <w:numId w:val="14"/>
        </w:numPr>
        <w:ind w:firstLineChars="0"/>
      </w:pPr>
      <w:r>
        <w:rPr>
          <w:rFonts w:hint="eastAsia"/>
        </w:rPr>
        <w:t>Option2: Indicated in punctured mini-slot</w:t>
      </w:r>
    </w:p>
    <w:p w:rsidR="005067A8" w:rsidRDefault="005067A8" w:rsidP="005067A8">
      <w:pPr>
        <w:pStyle w:val="10"/>
        <w:numPr>
          <w:ilvl w:val="0"/>
          <w:numId w:val="14"/>
        </w:numPr>
        <w:ind w:firstLineChars="0"/>
      </w:pPr>
      <w:r>
        <w:rPr>
          <w:rFonts w:hint="eastAsia"/>
        </w:rPr>
        <w:t xml:space="preserve">Option3: Indicated in the </w:t>
      </w:r>
      <w:r>
        <w:t>beginning</w:t>
      </w:r>
      <w:r>
        <w:rPr>
          <w:rFonts w:hint="eastAsia"/>
        </w:rPr>
        <w:t xml:space="preserve"> of next slots and reused the CORESET for </w:t>
      </w:r>
      <w:proofErr w:type="spellStart"/>
      <w:r>
        <w:rPr>
          <w:rFonts w:hint="eastAsia"/>
        </w:rPr>
        <w:t>eMBB</w:t>
      </w:r>
      <w:proofErr w:type="spellEnd"/>
      <w:r>
        <w:rPr>
          <w:rFonts w:hint="eastAsia"/>
        </w:rPr>
        <w:t xml:space="preserve"> </w:t>
      </w:r>
      <w:r w:rsidR="00CE41DC">
        <w:rPr>
          <w:rFonts w:hint="eastAsia"/>
        </w:rPr>
        <w:t>service</w:t>
      </w:r>
      <w:r>
        <w:rPr>
          <w:rFonts w:hint="eastAsia"/>
        </w:rPr>
        <w:t>.</w:t>
      </w:r>
    </w:p>
    <w:p w:rsidR="001662BA" w:rsidRDefault="005067A8">
      <w:pPr>
        <w:rPr>
          <w:rFonts w:eastAsiaTheme="minorEastAsia"/>
          <w:szCs w:val="20"/>
        </w:rPr>
      </w:pPr>
      <w:r w:rsidRPr="005067A8">
        <w:rPr>
          <w:rFonts w:eastAsiaTheme="minorEastAsia"/>
          <w:szCs w:val="20"/>
        </w:rPr>
        <w:t>Group-common PDCCH</w:t>
      </w:r>
      <w:r w:rsidR="00CE41DC">
        <w:rPr>
          <w:rFonts w:eastAsiaTheme="minorEastAsia" w:hint="eastAsia"/>
          <w:szCs w:val="20"/>
        </w:rPr>
        <w:t xml:space="preserve"> is selected for preemption indication. Then, it is </w:t>
      </w:r>
      <w:r w:rsidR="00CE41DC">
        <w:rPr>
          <w:rFonts w:eastAsiaTheme="minorEastAsia"/>
          <w:szCs w:val="20"/>
        </w:rPr>
        <w:t>natural</w:t>
      </w:r>
      <w:r w:rsidR="00CE41DC">
        <w:rPr>
          <w:rFonts w:eastAsiaTheme="minorEastAsia" w:hint="eastAsia"/>
          <w:szCs w:val="20"/>
        </w:rPr>
        <w:t xml:space="preserve"> to reuse the common control CORESET to simplify the design. Indication can consider both time and frequency indication with balance of overhead.  </w:t>
      </w:r>
      <w:r>
        <w:rPr>
          <w:rFonts w:eastAsiaTheme="minorEastAsia" w:hint="eastAsia"/>
          <w:szCs w:val="20"/>
        </w:rPr>
        <w:t xml:space="preserve"> </w:t>
      </w:r>
    </w:p>
    <w:bookmarkEnd w:id="10"/>
    <w:p w:rsidR="001662BA" w:rsidRDefault="00A81296">
      <w:pPr>
        <w:pStyle w:val="Heading2"/>
        <w:ind w:left="576"/>
        <w:rPr>
          <w:rFonts w:eastAsiaTheme="minorEastAsia"/>
          <w:szCs w:val="20"/>
        </w:rPr>
      </w:pPr>
      <w:r>
        <w:rPr>
          <w:rFonts w:eastAsiaTheme="minorEastAsia" w:hint="eastAsia"/>
          <w:szCs w:val="20"/>
        </w:rPr>
        <w:t>Configurable Group-common PDCCH content</w:t>
      </w:r>
    </w:p>
    <w:p w:rsidR="00000000" w:rsidRDefault="00A42EB9">
      <w:pPr>
        <w:numPr>
          <w:ilvl w:val="255"/>
          <w:numId w:val="0"/>
        </w:numPr>
        <w:rPr>
          <w:rFonts w:eastAsiaTheme="minorEastAsia"/>
          <w:szCs w:val="20"/>
        </w:rPr>
      </w:pPr>
      <w:r>
        <w:rPr>
          <w:rFonts w:eastAsiaTheme="minorEastAsia" w:hint="eastAsia"/>
          <w:szCs w:val="20"/>
        </w:rPr>
        <w:t xml:space="preserve">The group-common content can be different types. </w:t>
      </w:r>
      <w:r w:rsidR="00A81296">
        <w:rPr>
          <w:rFonts w:eastAsiaTheme="minorEastAsia" w:hint="eastAsia"/>
          <w:szCs w:val="20"/>
        </w:rPr>
        <w:t xml:space="preserve"> </w:t>
      </w:r>
      <w:r>
        <w:rPr>
          <w:rFonts w:eastAsiaTheme="minorEastAsia" w:hint="eastAsia"/>
          <w:szCs w:val="20"/>
        </w:rPr>
        <w:t xml:space="preserve">The SFI and PI are supported. However, they may not be carried by same DCI. Further, </w:t>
      </w:r>
      <w:r w:rsidR="00546725">
        <w:rPr>
          <w:rFonts w:eastAsiaTheme="minorEastAsia" w:hint="eastAsia"/>
          <w:szCs w:val="20"/>
        </w:rPr>
        <w:t xml:space="preserve">beam or QCL indication information may also be needed. The different </w:t>
      </w:r>
      <w:proofErr w:type="gramStart"/>
      <w:r w:rsidR="00546725">
        <w:rPr>
          <w:rFonts w:eastAsiaTheme="minorEastAsia" w:hint="eastAsia"/>
          <w:szCs w:val="20"/>
        </w:rPr>
        <w:t>types</w:t>
      </w:r>
      <w:proofErr w:type="gramEnd"/>
      <w:r w:rsidR="00546725">
        <w:rPr>
          <w:rFonts w:eastAsiaTheme="minorEastAsia" w:hint="eastAsia"/>
          <w:szCs w:val="20"/>
        </w:rPr>
        <w:t xml:space="preserve"> group common DCI content may or may not be carried by same DCI format. </w:t>
      </w:r>
    </w:p>
    <w:p w:rsidR="00000000" w:rsidRDefault="00546725">
      <w:pPr>
        <w:numPr>
          <w:ilvl w:val="255"/>
          <w:numId w:val="0"/>
        </w:numPr>
        <w:rPr>
          <w:rFonts w:eastAsiaTheme="minorEastAsia"/>
          <w:szCs w:val="20"/>
        </w:rPr>
      </w:pPr>
      <w:r>
        <w:rPr>
          <w:rFonts w:eastAsiaTheme="minorEastAsia" w:hint="eastAsia"/>
          <w:szCs w:val="20"/>
        </w:rPr>
        <w:t xml:space="preserve">If DCI contents can be combined in to same format, they have to be configured with same monitoring </w:t>
      </w:r>
      <w:r>
        <w:rPr>
          <w:rFonts w:eastAsiaTheme="minorEastAsia"/>
          <w:szCs w:val="20"/>
        </w:rPr>
        <w:t>occasion</w:t>
      </w:r>
      <w:r>
        <w:rPr>
          <w:rFonts w:eastAsiaTheme="minorEastAsia" w:hint="eastAsia"/>
          <w:szCs w:val="20"/>
        </w:rPr>
        <w:t xml:space="preserve">.  Considering the group-common PDCCH are targeting to number of UEs, the DCI size should small and it should apply transmit diversity. </w:t>
      </w:r>
    </w:p>
    <w:p w:rsidR="00000000" w:rsidRDefault="00546725">
      <w:pPr>
        <w:numPr>
          <w:ilvl w:val="255"/>
          <w:numId w:val="0"/>
        </w:numPr>
        <w:rPr>
          <w:rFonts w:eastAsiaTheme="minorEastAsia"/>
          <w:szCs w:val="20"/>
        </w:rPr>
      </w:pPr>
      <w:r>
        <w:rPr>
          <w:rFonts w:eastAsiaTheme="minorEastAsia" w:hint="eastAsia"/>
          <w:szCs w:val="20"/>
        </w:rPr>
        <w:t>For DCI contents have different monitor</w:t>
      </w:r>
      <w:r w:rsidR="00931B2F">
        <w:rPr>
          <w:rFonts w:eastAsiaTheme="minorEastAsia" w:hint="eastAsia"/>
          <w:szCs w:val="20"/>
        </w:rPr>
        <w:t>ing occasion, different DCI format is needed. RNTI scheme can be used to distinguish them to support quite diversity configuration of Group-common PDCCH in NR.</w:t>
      </w:r>
    </w:p>
    <w:p w:rsidR="00000000" w:rsidRDefault="00A81296">
      <w:pPr>
        <w:pStyle w:val="Heading2"/>
        <w:numPr>
          <w:ilvl w:val="255"/>
          <w:numId w:val="0"/>
        </w:numPr>
      </w:pPr>
      <w:r>
        <w:rPr>
          <w:rFonts w:ascii="Times New Roman" w:eastAsiaTheme="minorEastAsia" w:hAnsi="Times New Roman" w:hint="eastAsia"/>
          <w:sz w:val="20"/>
          <w:szCs w:val="20"/>
        </w:rPr>
        <w:t>Proposal</w:t>
      </w:r>
      <w:r w:rsidR="00C93220">
        <w:rPr>
          <w:rFonts w:ascii="Times New Roman" w:hAnsi="Times New Roman" w:hint="eastAsia"/>
          <w:sz w:val="20"/>
          <w:szCs w:val="20"/>
        </w:rPr>
        <w:t xml:space="preserve"> 3</w:t>
      </w:r>
      <w:r>
        <w:rPr>
          <w:rFonts w:ascii="Times New Roman" w:eastAsiaTheme="minorEastAsia" w:hAnsi="Times New Roman" w:hint="eastAsia"/>
          <w:sz w:val="20"/>
          <w:szCs w:val="20"/>
        </w:rPr>
        <w:t xml:space="preserve">: </w:t>
      </w:r>
      <w:r w:rsidR="00931B2F">
        <w:rPr>
          <w:rFonts w:ascii="Times New Roman" w:eastAsiaTheme="minorEastAsia" w:hAnsi="Times New Roman" w:hint="eastAsia"/>
          <w:sz w:val="20"/>
          <w:szCs w:val="20"/>
        </w:rPr>
        <w:t xml:space="preserve">In </w:t>
      </w:r>
      <w:r w:rsidR="00931B2F">
        <w:rPr>
          <w:rFonts w:ascii="Times New Roman" w:eastAsiaTheme="minorEastAsia" w:hAnsi="Times New Roman"/>
          <w:sz w:val="20"/>
          <w:szCs w:val="20"/>
        </w:rPr>
        <w:t>addition</w:t>
      </w:r>
      <w:r w:rsidR="00931B2F">
        <w:rPr>
          <w:rFonts w:ascii="Times New Roman" w:eastAsiaTheme="minorEastAsia" w:hAnsi="Times New Roman" w:hint="eastAsia"/>
          <w:sz w:val="20"/>
          <w:szCs w:val="20"/>
        </w:rPr>
        <w:t xml:space="preserve"> to SFI format and PI format, other </w:t>
      </w:r>
      <w:r>
        <w:rPr>
          <w:rFonts w:ascii="Times New Roman" w:eastAsiaTheme="minorEastAsia" w:hAnsi="Times New Roman" w:hint="eastAsia"/>
          <w:sz w:val="20"/>
          <w:szCs w:val="20"/>
        </w:rPr>
        <w:t>DCI formats can be defined for different Group-common PDCCH content</w:t>
      </w:r>
      <w:r w:rsidR="00931B2F">
        <w:rPr>
          <w:rFonts w:ascii="Times New Roman" w:eastAsiaTheme="minorEastAsia" w:hAnsi="Times New Roman" w:hint="eastAsia"/>
          <w:sz w:val="20"/>
          <w:szCs w:val="20"/>
        </w:rPr>
        <w:t>s</w:t>
      </w:r>
      <w:r>
        <w:rPr>
          <w:rFonts w:ascii="Times New Roman" w:eastAsiaTheme="minorEastAsia" w:hAnsi="Times New Roman" w:hint="eastAsia"/>
          <w:sz w:val="20"/>
          <w:szCs w:val="20"/>
        </w:rPr>
        <w:t xml:space="preserve"> combination</w:t>
      </w:r>
      <w:r w:rsidR="00F34B00"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eastAsiaTheme="minorEastAsia" w:hAnsi="Times New Roman" w:hint="eastAsia"/>
          <w:sz w:val="20"/>
          <w:szCs w:val="20"/>
        </w:rPr>
        <w:t>.</w:t>
      </w:r>
    </w:p>
    <w:p w:rsidR="001662BA" w:rsidRDefault="00A81296">
      <w:pPr>
        <w:pStyle w:val="Heading1"/>
        <w:rPr>
          <w:b w:val="0"/>
          <w:lang w:val="en-US"/>
        </w:rPr>
      </w:pPr>
      <w:r>
        <w:rPr>
          <w:rFonts w:hint="eastAsia"/>
          <w:b w:val="0"/>
          <w:lang w:val="en-US"/>
        </w:rPr>
        <w:t>Conclusion</w:t>
      </w:r>
    </w:p>
    <w:p w:rsidR="001662BA" w:rsidRDefault="00A81296">
      <w:pPr>
        <w:rPr>
          <w:szCs w:val="20"/>
        </w:rPr>
      </w:pPr>
      <w:r>
        <w:rPr>
          <w:rFonts w:hint="eastAsia"/>
          <w:szCs w:val="20"/>
        </w:rPr>
        <w:t>In this contribution, we discussed the transmission of common control signals in NR and provided our views</w:t>
      </w:r>
      <w:r>
        <w:rPr>
          <w:szCs w:val="20"/>
        </w:rPr>
        <w:t>:</w:t>
      </w:r>
      <w:r>
        <w:rPr>
          <w:rFonts w:hint="eastAsia"/>
          <w:szCs w:val="20"/>
        </w:rPr>
        <w:t xml:space="preserve"> </w:t>
      </w:r>
    </w:p>
    <w:p w:rsidR="00D600C5" w:rsidRPr="00D405C9" w:rsidRDefault="00D600C5" w:rsidP="00D600C5">
      <w:pPr>
        <w:rPr>
          <w:b/>
          <w:szCs w:val="20"/>
        </w:rPr>
      </w:pPr>
      <w:r w:rsidRPr="00D405C9">
        <w:rPr>
          <w:rFonts w:hint="eastAsia"/>
          <w:b/>
          <w:szCs w:val="20"/>
        </w:rPr>
        <w:t>Proposal</w:t>
      </w:r>
      <w:r>
        <w:rPr>
          <w:rFonts w:hint="eastAsia"/>
          <w:b/>
          <w:szCs w:val="20"/>
        </w:rPr>
        <w:t xml:space="preserve"> </w:t>
      </w:r>
      <w:r w:rsidRPr="00D405C9">
        <w:rPr>
          <w:rFonts w:hint="eastAsia"/>
          <w:b/>
          <w:szCs w:val="20"/>
        </w:rPr>
        <w:t>1</w:t>
      </w:r>
      <w:r>
        <w:rPr>
          <w:rFonts w:hint="eastAsia"/>
          <w:b/>
          <w:szCs w:val="20"/>
        </w:rPr>
        <w:t xml:space="preserve">: </w:t>
      </w:r>
      <w:r w:rsidRPr="00D405C9">
        <w:rPr>
          <w:rFonts w:hint="eastAsia"/>
          <w:b/>
          <w:szCs w:val="20"/>
        </w:rPr>
        <w:t>SFI indication can indicate a pattern in time. Time unit of the pattern could be a slot.</w:t>
      </w:r>
    </w:p>
    <w:p w:rsidR="00F34B00" w:rsidRDefault="00F34B00" w:rsidP="00F34B00">
      <w:pPr>
        <w:rPr>
          <w:szCs w:val="20"/>
        </w:rPr>
      </w:pPr>
      <w:r w:rsidRPr="003E0E2D">
        <w:rPr>
          <w:b/>
          <w:bCs/>
        </w:rPr>
        <w:lastRenderedPageBreak/>
        <w:t>Proposal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2</w:t>
      </w:r>
      <w:r w:rsidRPr="003E0E2D">
        <w:rPr>
          <w:b/>
          <w:bCs/>
        </w:rPr>
        <w:t xml:space="preserve">: </w:t>
      </w:r>
      <w:r>
        <w:rPr>
          <w:rFonts w:hint="eastAsia"/>
          <w:b/>
          <w:bCs/>
        </w:rPr>
        <w:t xml:space="preserve">A </w:t>
      </w:r>
      <w:r w:rsidRPr="00D405C9">
        <w:rPr>
          <w:rFonts w:hint="eastAsia"/>
          <w:b/>
          <w:szCs w:val="20"/>
        </w:rPr>
        <w:t xml:space="preserve">SFI indication </w:t>
      </w:r>
      <w:r>
        <w:rPr>
          <w:rFonts w:hint="eastAsia"/>
          <w:b/>
          <w:szCs w:val="20"/>
        </w:rPr>
        <w:t xml:space="preserve">can be for multiple BWPs. </w:t>
      </w:r>
      <w:r w:rsidRPr="003E0E2D">
        <w:rPr>
          <w:b/>
          <w:bCs/>
        </w:rPr>
        <w:t xml:space="preserve">UE </w:t>
      </w:r>
      <w:r>
        <w:rPr>
          <w:rFonts w:hint="eastAsia"/>
          <w:b/>
          <w:bCs/>
        </w:rPr>
        <w:t>should</w:t>
      </w:r>
      <w:r w:rsidRPr="003E0E2D">
        <w:rPr>
          <w:b/>
          <w:bCs/>
        </w:rPr>
        <w:t xml:space="preserve"> determine </w:t>
      </w:r>
      <w:r>
        <w:rPr>
          <w:rFonts w:hint="eastAsia"/>
          <w:b/>
          <w:bCs/>
        </w:rPr>
        <w:t>a</w:t>
      </w:r>
      <w:r w:rsidRPr="003E0E2D">
        <w:rPr>
          <w:b/>
          <w:bCs/>
        </w:rPr>
        <w:t xml:space="preserve"> target BWP</w:t>
      </w:r>
      <w:r>
        <w:rPr>
          <w:b/>
          <w:bCs/>
        </w:rPr>
        <w:t>’</w:t>
      </w:r>
      <w:r w:rsidRPr="003E0E2D">
        <w:rPr>
          <w:b/>
          <w:bCs/>
        </w:rPr>
        <w:t xml:space="preserve">s slot </w:t>
      </w:r>
      <w:r>
        <w:rPr>
          <w:rFonts w:hint="eastAsia"/>
          <w:b/>
          <w:bCs/>
        </w:rPr>
        <w:t xml:space="preserve">time </w:t>
      </w:r>
      <w:r w:rsidRPr="003E0E2D">
        <w:rPr>
          <w:b/>
          <w:bCs/>
        </w:rPr>
        <w:t>structure</w:t>
      </w:r>
      <w:r>
        <w:rPr>
          <w:rFonts w:hint="eastAsia"/>
          <w:b/>
          <w:bCs/>
        </w:rPr>
        <w:t xml:space="preserve"> based on </w:t>
      </w:r>
      <w:r>
        <w:rPr>
          <w:rFonts w:hint="eastAsia"/>
          <w:b/>
          <w:bCs/>
        </w:rPr>
        <w:t>symbol duration/SCS ratio of</w:t>
      </w:r>
      <w:r>
        <w:rPr>
          <w:rFonts w:hint="eastAsia"/>
          <w:b/>
          <w:bCs/>
        </w:rPr>
        <w:t xml:space="preserve"> SFI</w:t>
      </w:r>
      <w:r>
        <w:rPr>
          <w:rFonts w:hint="eastAsia"/>
          <w:b/>
          <w:bCs/>
        </w:rPr>
        <w:t xml:space="preserve"> numerology</w:t>
      </w:r>
      <w:r>
        <w:rPr>
          <w:rFonts w:hint="eastAsia"/>
          <w:b/>
          <w:bCs/>
        </w:rPr>
        <w:t xml:space="preserve"> and the target numerology.</w:t>
      </w:r>
      <w:r w:rsidRPr="003E0E2D">
        <w:rPr>
          <w:b/>
          <w:bCs/>
        </w:rPr>
        <w:t xml:space="preserve">  </w:t>
      </w:r>
      <w:r>
        <w:rPr>
          <w:rFonts w:hint="eastAsia"/>
        </w:rPr>
        <w:t xml:space="preserve"> </w:t>
      </w:r>
    </w:p>
    <w:p w:rsidR="001662BA" w:rsidRPr="00F34B00" w:rsidRDefault="00F34B00" w:rsidP="00F34B00">
      <w:pPr>
        <w:pStyle w:val="Heading2"/>
        <w:numPr>
          <w:ilvl w:val="255"/>
          <w:numId w:val="0"/>
        </w:numPr>
      </w:pPr>
      <w:r>
        <w:rPr>
          <w:rFonts w:ascii="Times New Roman" w:eastAsiaTheme="minorEastAsia" w:hAnsi="Times New Roman" w:hint="eastAsia"/>
          <w:sz w:val="20"/>
          <w:szCs w:val="20"/>
        </w:rPr>
        <w:t>Proposal</w:t>
      </w:r>
      <w:r>
        <w:rPr>
          <w:rFonts w:ascii="Times New Roman" w:hAnsi="Times New Roman" w:hint="eastAsia"/>
          <w:sz w:val="20"/>
          <w:szCs w:val="20"/>
        </w:rPr>
        <w:t xml:space="preserve"> 3</w:t>
      </w:r>
      <w:r>
        <w:rPr>
          <w:rFonts w:ascii="Times New Roman" w:eastAsiaTheme="minorEastAsia" w:hAnsi="Times New Roman" w:hint="eastAsia"/>
          <w:sz w:val="20"/>
          <w:szCs w:val="20"/>
        </w:rPr>
        <w:t xml:space="preserve">: In </w:t>
      </w:r>
      <w:r>
        <w:rPr>
          <w:rFonts w:ascii="Times New Roman" w:eastAsiaTheme="minorEastAsia" w:hAnsi="Times New Roman"/>
          <w:sz w:val="20"/>
          <w:szCs w:val="20"/>
        </w:rPr>
        <w:t>addition</w:t>
      </w:r>
      <w:r>
        <w:rPr>
          <w:rFonts w:ascii="Times New Roman" w:eastAsiaTheme="minorEastAsia" w:hAnsi="Times New Roman" w:hint="eastAsia"/>
          <w:sz w:val="20"/>
          <w:szCs w:val="20"/>
        </w:rPr>
        <w:t xml:space="preserve"> to SFI format and PI format, other DCI formats can be defined for different Group-common PDCCH contents combination</w:t>
      </w:r>
      <w:r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eastAsiaTheme="minorEastAsia" w:hAnsi="Times New Roman" w:hint="eastAsia"/>
          <w:sz w:val="20"/>
          <w:szCs w:val="20"/>
        </w:rPr>
        <w:t>.</w:t>
      </w:r>
    </w:p>
    <w:p w:rsidR="001662BA" w:rsidRDefault="00A81296">
      <w:pPr>
        <w:pStyle w:val="Heading1"/>
        <w:rPr>
          <w:lang w:val="en-US"/>
        </w:rPr>
      </w:pPr>
      <w:r>
        <w:rPr>
          <w:rFonts w:hint="eastAsia"/>
        </w:rPr>
        <w:t>Reference</w:t>
      </w:r>
      <w:r>
        <w:t>s</w:t>
      </w:r>
      <w:r>
        <w:rPr>
          <w:rFonts w:hint="eastAsia"/>
          <w:lang w:val="en-US"/>
        </w:rPr>
        <w:t xml:space="preserve"> </w:t>
      </w:r>
    </w:p>
    <w:p w:rsidR="001662BA" w:rsidRDefault="00A81296">
      <w:pPr>
        <w:pStyle w:val="2222"/>
        <w:numPr>
          <w:ilvl w:val="0"/>
          <w:numId w:val="15"/>
        </w:numPr>
        <w:spacing w:after="120" w:line="288" w:lineRule="auto"/>
        <w:ind w:left="357" w:firstLineChars="0" w:hanging="357"/>
      </w:pPr>
      <w:r>
        <w:rPr>
          <w:rFonts w:eastAsia="宋体" w:hint="eastAsia"/>
          <w:lang w:val="en-US" w:eastAsia="zh-CN"/>
        </w:rPr>
        <w:t xml:space="preserve">R1-1712444, Structure of </w:t>
      </w:r>
      <w:r>
        <w:rPr>
          <w:rFonts w:eastAsiaTheme="minorEastAsia" w:cs="Times New Roman" w:hint="eastAsia"/>
          <w:sz w:val="18"/>
          <w:lang w:val="en-US" w:eastAsia="zh-CN"/>
        </w:rPr>
        <w:t>G</w:t>
      </w:r>
      <w:proofErr w:type="spellStart"/>
      <w:r>
        <w:rPr>
          <w:rFonts w:eastAsiaTheme="minorEastAsia" w:cs="Times New Roman"/>
          <w:sz w:val="18"/>
        </w:rPr>
        <w:t>roup</w:t>
      </w:r>
      <w:proofErr w:type="spellEnd"/>
      <w:r>
        <w:rPr>
          <w:rFonts w:eastAsiaTheme="minorEastAsia" w:cs="Times New Roman"/>
          <w:sz w:val="18"/>
        </w:rPr>
        <w:t>-common PDCCH</w:t>
      </w:r>
      <w:r>
        <w:rPr>
          <w:rFonts w:eastAsiaTheme="minorEastAsia" w:cs="Times New Roman" w:hint="eastAsia"/>
          <w:sz w:val="18"/>
          <w:lang w:val="en-US" w:eastAsia="zh-CN"/>
        </w:rPr>
        <w:t>, ZTE</w:t>
      </w:r>
    </w:p>
    <w:p w:rsidR="001662BA" w:rsidRDefault="00A81296">
      <w:pPr>
        <w:pStyle w:val="2222"/>
        <w:numPr>
          <w:ilvl w:val="0"/>
          <w:numId w:val="15"/>
        </w:numPr>
        <w:spacing w:after="120" w:line="288" w:lineRule="auto"/>
        <w:ind w:left="357" w:firstLineChars="0" w:hanging="357"/>
      </w:pPr>
      <w:r>
        <w:rPr>
          <w:rFonts w:eastAsiaTheme="minorEastAsia" w:cs="Times New Roman" w:hint="eastAsia"/>
          <w:sz w:val="18"/>
          <w:lang w:val="en-US" w:eastAsia="zh-CN"/>
        </w:rPr>
        <w:t xml:space="preserve">R1-1712446, </w:t>
      </w:r>
      <w:r>
        <w:rPr>
          <w:rFonts w:eastAsiaTheme="minorEastAsia" w:cs="Times New Roman"/>
          <w:sz w:val="18"/>
        </w:rPr>
        <w:t>UE behaviour related to group-common PDCCH</w:t>
      </w:r>
      <w:r>
        <w:rPr>
          <w:rFonts w:eastAsiaTheme="minorEastAsia" w:cs="Times New Roman" w:hint="eastAsia"/>
          <w:sz w:val="18"/>
          <w:lang w:val="en-US" w:eastAsia="zh-CN"/>
        </w:rPr>
        <w:t>, ZTE</w:t>
      </w:r>
    </w:p>
    <w:p w:rsidR="001662BA" w:rsidRDefault="001662BA">
      <w:pPr>
        <w:pStyle w:val="1"/>
        <w:jc w:val="both"/>
        <w:rPr>
          <w:rFonts w:ascii="Times New Roman" w:hAnsi="Times New Roman"/>
          <w:sz w:val="20"/>
          <w:szCs w:val="20"/>
        </w:rPr>
      </w:pPr>
    </w:p>
    <w:p w:rsidR="001662BA" w:rsidRDefault="001662BA">
      <w:pPr>
        <w:rPr>
          <w:szCs w:val="20"/>
        </w:rPr>
      </w:pPr>
    </w:p>
    <w:sectPr w:rsidR="001662BA" w:rsidSect="001662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iTi_GB2312">
    <w:altName w:val="Segoe Print"/>
    <w:panose1 w:val="02010609060101010101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7C91"/>
    <w:multiLevelType w:val="multilevel"/>
    <w:tmpl w:val="039B7C91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0984511D"/>
    <w:multiLevelType w:val="multilevel"/>
    <w:tmpl w:val="0984511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F03C44"/>
    <w:multiLevelType w:val="multilevel"/>
    <w:tmpl w:val="0AF03C44"/>
    <w:lvl w:ilvl="0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840" w:hanging="360"/>
      </w:pPr>
    </w:lvl>
    <w:lvl w:ilvl="2">
      <w:start w:val="1"/>
      <w:numFmt w:val="lowerRoman"/>
      <w:lvlText w:val="%3."/>
      <w:lvlJc w:val="right"/>
      <w:pPr>
        <w:ind w:left="2560" w:hanging="180"/>
      </w:pPr>
    </w:lvl>
    <w:lvl w:ilvl="3">
      <w:start w:val="1"/>
      <w:numFmt w:val="decimal"/>
      <w:lvlText w:val="%4."/>
      <w:lvlJc w:val="left"/>
      <w:pPr>
        <w:ind w:left="3280" w:hanging="360"/>
      </w:pPr>
    </w:lvl>
    <w:lvl w:ilvl="4">
      <w:start w:val="1"/>
      <w:numFmt w:val="lowerLetter"/>
      <w:lvlText w:val="%5."/>
      <w:lvlJc w:val="left"/>
      <w:pPr>
        <w:ind w:left="4000" w:hanging="360"/>
      </w:pPr>
    </w:lvl>
    <w:lvl w:ilvl="5">
      <w:start w:val="1"/>
      <w:numFmt w:val="lowerRoman"/>
      <w:lvlText w:val="%6."/>
      <w:lvlJc w:val="right"/>
      <w:pPr>
        <w:ind w:left="4720" w:hanging="180"/>
      </w:pPr>
    </w:lvl>
    <w:lvl w:ilvl="6">
      <w:start w:val="1"/>
      <w:numFmt w:val="decimal"/>
      <w:lvlText w:val="%7."/>
      <w:lvlJc w:val="left"/>
      <w:pPr>
        <w:ind w:left="5440" w:hanging="360"/>
      </w:pPr>
    </w:lvl>
    <w:lvl w:ilvl="7">
      <w:start w:val="1"/>
      <w:numFmt w:val="lowerLetter"/>
      <w:lvlText w:val="%8."/>
      <w:lvlJc w:val="left"/>
      <w:pPr>
        <w:ind w:left="6160" w:hanging="360"/>
      </w:pPr>
    </w:lvl>
    <w:lvl w:ilvl="8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4117E61"/>
    <w:multiLevelType w:val="multilevel"/>
    <w:tmpl w:val="14117E6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423E3D"/>
    <w:multiLevelType w:val="multilevel"/>
    <w:tmpl w:val="15423E3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DF66E5F"/>
    <w:multiLevelType w:val="multilevel"/>
    <w:tmpl w:val="2DF66E5F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291D71"/>
    <w:multiLevelType w:val="multilevel"/>
    <w:tmpl w:val="2E291D71"/>
    <w:lvl w:ilvl="0">
      <w:start w:val="1"/>
      <w:numFmt w:val="decimal"/>
      <w:pStyle w:val="4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9">
    <w:nsid w:val="588E0F2C"/>
    <w:multiLevelType w:val="multilevel"/>
    <w:tmpl w:val="588E0F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305D32"/>
    <w:multiLevelType w:val="multilevel"/>
    <w:tmpl w:val="59305D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1757E5"/>
    <w:multiLevelType w:val="multilevel"/>
    <w:tmpl w:val="5B1757E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26" w:hanging="576"/>
      </w:p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>
    <w:nsid w:val="6E760327"/>
    <w:multiLevelType w:val="multilevel"/>
    <w:tmpl w:val="6E760327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3">
    <w:nsid w:val="7C645CF1"/>
    <w:multiLevelType w:val="multilevel"/>
    <w:tmpl w:val="7C645CF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FC44911"/>
    <w:multiLevelType w:val="multilevel"/>
    <w:tmpl w:val="7FC449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6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1"/>
  </w:num>
  <w:num w:numId="9">
    <w:abstractNumId w:val="3"/>
  </w:num>
  <w:num w:numId="10">
    <w:abstractNumId w:val="14"/>
  </w:num>
  <w:num w:numId="11">
    <w:abstractNumId w:val="9"/>
  </w:num>
  <w:num w:numId="12">
    <w:abstractNumId w:val="10"/>
  </w:num>
  <w:num w:numId="13">
    <w:abstractNumId w:val="13"/>
  </w:num>
  <w:num w:numId="14">
    <w:abstractNumId w:val="0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20"/>
  <w:hyphenationZone w:val="425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</w:compat>
  <w:rsids>
    <w:rsidRoot w:val="008E2E7F"/>
    <w:rsid w:val="000000D5"/>
    <w:rsid w:val="00000FFB"/>
    <w:rsid w:val="00001225"/>
    <w:rsid w:val="00001F6C"/>
    <w:rsid w:val="00002071"/>
    <w:rsid w:val="00002EA0"/>
    <w:rsid w:val="0000557C"/>
    <w:rsid w:val="000055D1"/>
    <w:rsid w:val="000062AC"/>
    <w:rsid w:val="000066E7"/>
    <w:rsid w:val="00006A0E"/>
    <w:rsid w:val="0000705B"/>
    <w:rsid w:val="00007304"/>
    <w:rsid w:val="00007B64"/>
    <w:rsid w:val="00012CB7"/>
    <w:rsid w:val="00012E08"/>
    <w:rsid w:val="00012E58"/>
    <w:rsid w:val="000132A2"/>
    <w:rsid w:val="00013BD1"/>
    <w:rsid w:val="00014115"/>
    <w:rsid w:val="00014604"/>
    <w:rsid w:val="00014B48"/>
    <w:rsid w:val="00014D8C"/>
    <w:rsid w:val="00015DBB"/>
    <w:rsid w:val="00015F44"/>
    <w:rsid w:val="00017916"/>
    <w:rsid w:val="00017D67"/>
    <w:rsid w:val="00017E34"/>
    <w:rsid w:val="0002066E"/>
    <w:rsid w:val="00020D97"/>
    <w:rsid w:val="0002249A"/>
    <w:rsid w:val="00022B28"/>
    <w:rsid w:val="00022C5F"/>
    <w:rsid w:val="00023067"/>
    <w:rsid w:val="000231D0"/>
    <w:rsid w:val="00023951"/>
    <w:rsid w:val="00023E79"/>
    <w:rsid w:val="000244B9"/>
    <w:rsid w:val="00024A6E"/>
    <w:rsid w:val="00025695"/>
    <w:rsid w:val="00026404"/>
    <w:rsid w:val="00026B95"/>
    <w:rsid w:val="00026C59"/>
    <w:rsid w:val="000271B7"/>
    <w:rsid w:val="000275DA"/>
    <w:rsid w:val="00027A85"/>
    <w:rsid w:val="00027D0A"/>
    <w:rsid w:val="00027E02"/>
    <w:rsid w:val="0003074F"/>
    <w:rsid w:val="00030C02"/>
    <w:rsid w:val="0003128F"/>
    <w:rsid w:val="00031458"/>
    <w:rsid w:val="000322B0"/>
    <w:rsid w:val="000332EA"/>
    <w:rsid w:val="00033359"/>
    <w:rsid w:val="0003348A"/>
    <w:rsid w:val="00033D39"/>
    <w:rsid w:val="0003404C"/>
    <w:rsid w:val="000341C4"/>
    <w:rsid w:val="0003534A"/>
    <w:rsid w:val="00036250"/>
    <w:rsid w:val="00036872"/>
    <w:rsid w:val="00037242"/>
    <w:rsid w:val="0003750E"/>
    <w:rsid w:val="00037AF2"/>
    <w:rsid w:val="0004015F"/>
    <w:rsid w:val="00041CBB"/>
    <w:rsid w:val="00041F46"/>
    <w:rsid w:val="0004242E"/>
    <w:rsid w:val="00043334"/>
    <w:rsid w:val="00043886"/>
    <w:rsid w:val="000442B0"/>
    <w:rsid w:val="00044C0B"/>
    <w:rsid w:val="00044E13"/>
    <w:rsid w:val="00044FF3"/>
    <w:rsid w:val="00045194"/>
    <w:rsid w:val="00045271"/>
    <w:rsid w:val="000458E6"/>
    <w:rsid w:val="00045E51"/>
    <w:rsid w:val="00045F11"/>
    <w:rsid w:val="00046405"/>
    <w:rsid w:val="00046EFA"/>
    <w:rsid w:val="000476D8"/>
    <w:rsid w:val="000505BE"/>
    <w:rsid w:val="00051162"/>
    <w:rsid w:val="00051A81"/>
    <w:rsid w:val="00051CF3"/>
    <w:rsid w:val="00052661"/>
    <w:rsid w:val="00052E69"/>
    <w:rsid w:val="00053425"/>
    <w:rsid w:val="00054700"/>
    <w:rsid w:val="00055624"/>
    <w:rsid w:val="00055A7A"/>
    <w:rsid w:val="00056618"/>
    <w:rsid w:val="0005696F"/>
    <w:rsid w:val="0005716B"/>
    <w:rsid w:val="00057AC7"/>
    <w:rsid w:val="0006006B"/>
    <w:rsid w:val="000600F5"/>
    <w:rsid w:val="000609B5"/>
    <w:rsid w:val="00062143"/>
    <w:rsid w:val="000624B4"/>
    <w:rsid w:val="000627C2"/>
    <w:rsid w:val="0006282E"/>
    <w:rsid w:val="00062DBD"/>
    <w:rsid w:val="00062F51"/>
    <w:rsid w:val="00063674"/>
    <w:rsid w:val="0006414C"/>
    <w:rsid w:val="0006558C"/>
    <w:rsid w:val="0006591D"/>
    <w:rsid w:val="00065D29"/>
    <w:rsid w:val="00066556"/>
    <w:rsid w:val="00066A38"/>
    <w:rsid w:val="00066ED8"/>
    <w:rsid w:val="000672C8"/>
    <w:rsid w:val="000673C8"/>
    <w:rsid w:val="00067F36"/>
    <w:rsid w:val="00071F92"/>
    <w:rsid w:val="000727E4"/>
    <w:rsid w:val="00073316"/>
    <w:rsid w:val="000737FB"/>
    <w:rsid w:val="00073A92"/>
    <w:rsid w:val="00074888"/>
    <w:rsid w:val="000768A6"/>
    <w:rsid w:val="0007696E"/>
    <w:rsid w:val="000773A0"/>
    <w:rsid w:val="0008046A"/>
    <w:rsid w:val="00080BB6"/>
    <w:rsid w:val="000814CF"/>
    <w:rsid w:val="0008169B"/>
    <w:rsid w:val="000819B7"/>
    <w:rsid w:val="00082030"/>
    <w:rsid w:val="00082089"/>
    <w:rsid w:val="00082D0A"/>
    <w:rsid w:val="00082E4E"/>
    <w:rsid w:val="00084956"/>
    <w:rsid w:val="0008503B"/>
    <w:rsid w:val="0008525F"/>
    <w:rsid w:val="00086248"/>
    <w:rsid w:val="000867CC"/>
    <w:rsid w:val="00086E8E"/>
    <w:rsid w:val="0008720C"/>
    <w:rsid w:val="00090025"/>
    <w:rsid w:val="000902F8"/>
    <w:rsid w:val="0009167F"/>
    <w:rsid w:val="00091C60"/>
    <w:rsid w:val="00092B46"/>
    <w:rsid w:val="0009334E"/>
    <w:rsid w:val="000934B3"/>
    <w:rsid w:val="0009474A"/>
    <w:rsid w:val="00094955"/>
    <w:rsid w:val="00094963"/>
    <w:rsid w:val="00096998"/>
    <w:rsid w:val="000969E8"/>
    <w:rsid w:val="00097059"/>
    <w:rsid w:val="00097434"/>
    <w:rsid w:val="0009766A"/>
    <w:rsid w:val="000A088C"/>
    <w:rsid w:val="000A0EAC"/>
    <w:rsid w:val="000A1279"/>
    <w:rsid w:val="000A12B0"/>
    <w:rsid w:val="000A145E"/>
    <w:rsid w:val="000A14CF"/>
    <w:rsid w:val="000A27D6"/>
    <w:rsid w:val="000A3632"/>
    <w:rsid w:val="000A61C7"/>
    <w:rsid w:val="000A6303"/>
    <w:rsid w:val="000A7F0F"/>
    <w:rsid w:val="000B0383"/>
    <w:rsid w:val="000B1F25"/>
    <w:rsid w:val="000B1F46"/>
    <w:rsid w:val="000B391D"/>
    <w:rsid w:val="000B3B98"/>
    <w:rsid w:val="000B3D67"/>
    <w:rsid w:val="000B3FCA"/>
    <w:rsid w:val="000B4772"/>
    <w:rsid w:val="000B6A62"/>
    <w:rsid w:val="000B6BF0"/>
    <w:rsid w:val="000B6CCA"/>
    <w:rsid w:val="000B6E5F"/>
    <w:rsid w:val="000B76B1"/>
    <w:rsid w:val="000B7B43"/>
    <w:rsid w:val="000C050C"/>
    <w:rsid w:val="000C1D3E"/>
    <w:rsid w:val="000C20FA"/>
    <w:rsid w:val="000C2622"/>
    <w:rsid w:val="000C2810"/>
    <w:rsid w:val="000C29C1"/>
    <w:rsid w:val="000C4ECD"/>
    <w:rsid w:val="000C4FFD"/>
    <w:rsid w:val="000C60BE"/>
    <w:rsid w:val="000C64C0"/>
    <w:rsid w:val="000C6C88"/>
    <w:rsid w:val="000D1B0E"/>
    <w:rsid w:val="000D2782"/>
    <w:rsid w:val="000D2C0B"/>
    <w:rsid w:val="000D3518"/>
    <w:rsid w:val="000D3D55"/>
    <w:rsid w:val="000D3F03"/>
    <w:rsid w:val="000D463D"/>
    <w:rsid w:val="000D4ECB"/>
    <w:rsid w:val="000D5EAA"/>
    <w:rsid w:val="000D645A"/>
    <w:rsid w:val="000D744C"/>
    <w:rsid w:val="000E0044"/>
    <w:rsid w:val="000E0C5D"/>
    <w:rsid w:val="000E0F41"/>
    <w:rsid w:val="000E113F"/>
    <w:rsid w:val="000E2524"/>
    <w:rsid w:val="000E2F5A"/>
    <w:rsid w:val="000E31C9"/>
    <w:rsid w:val="000E3D52"/>
    <w:rsid w:val="000E3D57"/>
    <w:rsid w:val="000E3FC6"/>
    <w:rsid w:val="000E4B60"/>
    <w:rsid w:val="000E6C30"/>
    <w:rsid w:val="000E6F0E"/>
    <w:rsid w:val="000E77D6"/>
    <w:rsid w:val="000F1AE8"/>
    <w:rsid w:val="000F1EEC"/>
    <w:rsid w:val="000F1EFD"/>
    <w:rsid w:val="000F2106"/>
    <w:rsid w:val="000F43B9"/>
    <w:rsid w:val="000F46F4"/>
    <w:rsid w:val="000F4E76"/>
    <w:rsid w:val="000F4E7F"/>
    <w:rsid w:val="000F6186"/>
    <w:rsid w:val="000F6199"/>
    <w:rsid w:val="000F7333"/>
    <w:rsid w:val="000F7565"/>
    <w:rsid w:val="000F782D"/>
    <w:rsid w:val="000F78D2"/>
    <w:rsid w:val="000F7B96"/>
    <w:rsid w:val="001010EF"/>
    <w:rsid w:val="00101C8E"/>
    <w:rsid w:val="0010229B"/>
    <w:rsid w:val="00103538"/>
    <w:rsid w:val="001039EA"/>
    <w:rsid w:val="00103EFE"/>
    <w:rsid w:val="00104196"/>
    <w:rsid w:val="0010419C"/>
    <w:rsid w:val="001049F5"/>
    <w:rsid w:val="00104D0E"/>
    <w:rsid w:val="0010523C"/>
    <w:rsid w:val="00105523"/>
    <w:rsid w:val="00106ED7"/>
    <w:rsid w:val="00107071"/>
    <w:rsid w:val="00110171"/>
    <w:rsid w:val="00110529"/>
    <w:rsid w:val="00110879"/>
    <w:rsid w:val="00112302"/>
    <w:rsid w:val="0011277E"/>
    <w:rsid w:val="00112E3E"/>
    <w:rsid w:val="00113731"/>
    <w:rsid w:val="00113FAF"/>
    <w:rsid w:val="00114715"/>
    <w:rsid w:val="00117B83"/>
    <w:rsid w:val="00117FC5"/>
    <w:rsid w:val="00120BE8"/>
    <w:rsid w:val="001218EA"/>
    <w:rsid w:val="00121BA7"/>
    <w:rsid w:val="00122904"/>
    <w:rsid w:val="00123496"/>
    <w:rsid w:val="00124E6C"/>
    <w:rsid w:val="00124F03"/>
    <w:rsid w:val="00125526"/>
    <w:rsid w:val="00125A28"/>
    <w:rsid w:val="00125DAA"/>
    <w:rsid w:val="0013097F"/>
    <w:rsid w:val="00130AA3"/>
    <w:rsid w:val="00130E18"/>
    <w:rsid w:val="00131A50"/>
    <w:rsid w:val="00132581"/>
    <w:rsid w:val="00132720"/>
    <w:rsid w:val="00132900"/>
    <w:rsid w:val="00132ABD"/>
    <w:rsid w:val="00133403"/>
    <w:rsid w:val="00133A6E"/>
    <w:rsid w:val="001347E4"/>
    <w:rsid w:val="001348A5"/>
    <w:rsid w:val="001355CB"/>
    <w:rsid w:val="00135780"/>
    <w:rsid w:val="001361A8"/>
    <w:rsid w:val="00136307"/>
    <w:rsid w:val="001363C4"/>
    <w:rsid w:val="0013671C"/>
    <w:rsid w:val="00136FA8"/>
    <w:rsid w:val="0014018D"/>
    <w:rsid w:val="001404E2"/>
    <w:rsid w:val="00140E7D"/>
    <w:rsid w:val="001417C1"/>
    <w:rsid w:val="00141E48"/>
    <w:rsid w:val="00142923"/>
    <w:rsid w:val="00142D7F"/>
    <w:rsid w:val="00143300"/>
    <w:rsid w:val="0014343D"/>
    <w:rsid w:val="0014591A"/>
    <w:rsid w:val="00147542"/>
    <w:rsid w:val="00150120"/>
    <w:rsid w:val="001504AA"/>
    <w:rsid w:val="00150BA3"/>
    <w:rsid w:val="00150ED9"/>
    <w:rsid w:val="00151424"/>
    <w:rsid w:val="00151689"/>
    <w:rsid w:val="0015190C"/>
    <w:rsid w:val="00151A14"/>
    <w:rsid w:val="0015218A"/>
    <w:rsid w:val="001522BF"/>
    <w:rsid w:val="001530D8"/>
    <w:rsid w:val="001538F2"/>
    <w:rsid w:val="0015441C"/>
    <w:rsid w:val="00154CBB"/>
    <w:rsid w:val="0015646F"/>
    <w:rsid w:val="00156579"/>
    <w:rsid w:val="00156EC1"/>
    <w:rsid w:val="0016078A"/>
    <w:rsid w:val="001607FB"/>
    <w:rsid w:val="00160EA3"/>
    <w:rsid w:val="001612E1"/>
    <w:rsid w:val="001622E6"/>
    <w:rsid w:val="00162DD8"/>
    <w:rsid w:val="001631A0"/>
    <w:rsid w:val="00163A53"/>
    <w:rsid w:val="00163BF2"/>
    <w:rsid w:val="00163EC2"/>
    <w:rsid w:val="001650FE"/>
    <w:rsid w:val="001659D6"/>
    <w:rsid w:val="00165A13"/>
    <w:rsid w:val="00165E3E"/>
    <w:rsid w:val="001662BA"/>
    <w:rsid w:val="001663F3"/>
    <w:rsid w:val="00166659"/>
    <w:rsid w:val="00167210"/>
    <w:rsid w:val="00167C92"/>
    <w:rsid w:val="001702F7"/>
    <w:rsid w:val="00170BA5"/>
    <w:rsid w:val="00170D13"/>
    <w:rsid w:val="00171EE9"/>
    <w:rsid w:val="00172053"/>
    <w:rsid w:val="001725D6"/>
    <w:rsid w:val="0017263B"/>
    <w:rsid w:val="00173748"/>
    <w:rsid w:val="00174F42"/>
    <w:rsid w:val="00175977"/>
    <w:rsid w:val="0017626A"/>
    <w:rsid w:val="00176D05"/>
    <w:rsid w:val="00176F8B"/>
    <w:rsid w:val="00180EB6"/>
    <w:rsid w:val="001813B0"/>
    <w:rsid w:val="001829F9"/>
    <w:rsid w:val="00184663"/>
    <w:rsid w:val="0018522E"/>
    <w:rsid w:val="00185844"/>
    <w:rsid w:val="00185A4E"/>
    <w:rsid w:val="00185BD7"/>
    <w:rsid w:val="0018607D"/>
    <w:rsid w:val="00187170"/>
    <w:rsid w:val="00191956"/>
    <w:rsid w:val="001923FD"/>
    <w:rsid w:val="00193750"/>
    <w:rsid w:val="00193D83"/>
    <w:rsid w:val="00195095"/>
    <w:rsid w:val="00196639"/>
    <w:rsid w:val="00197DB5"/>
    <w:rsid w:val="001A0A2D"/>
    <w:rsid w:val="001A119E"/>
    <w:rsid w:val="001A1225"/>
    <w:rsid w:val="001A141D"/>
    <w:rsid w:val="001A1536"/>
    <w:rsid w:val="001A15F4"/>
    <w:rsid w:val="001A2025"/>
    <w:rsid w:val="001A2A6A"/>
    <w:rsid w:val="001A31FB"/>
    <w:rsid w:val="001A4029"/>
    <w:rsid w:val="001A69B1"/>
    <w:rsid w:val="001A76E7"/>
    <w:rsid w:val="001B0E3B"/>
    <w:rsid w:val="001B0F8F"/>
    <w:rsid w:val="001B156C"/>
    <w:rsid w:val="001B277D"/>
    <w:rsid w:val="001B41CE"/>
    <w:rsid w:val="001B4573"/>
    <w:rsid w:val="001B4685"/>
    <w:rsid w:val="001B4C15"/>
    <w:rsid w:val="001B5ADA"/>
    <w:rsid w:val="001B6C68"/>
    <w:rsid w:val="001B6F5C"/>
    <w:rsid w:val="001B778F"/>
    <w:rsid w:val="001B79B2"/>
    <w:rsid w:val="001C08EE"/>
    <w:rsid w:val="001C127E"/>
    <w:rsid w:val="001C1420"/>
    <w:rsid w:val="001C1CAA"/>
    <w:rsid w:val="001C22A8"/>
    <w:rsid w:val="001C2753"/>
    <w:rsid w:val="001C4275"/>
    <w:rsid w:val="001C4DF3"/>
    <w:rsid w:val="001C4F71"/>
    <w:rsid w:val="001C53C4"/>
    <w:rsid w:val="001C5F41"/>
    <w:rsid w:val="001D00E8"/>
    <w:rsid w:val="001D041A"/>
    <w:rsid w:val="001D068B"/>
    <w:rsid w:val="001D0705"/>
    <w:rsid w:val="001D0969"/>
    <w:rsid w:val="001D0D60"/>
    <w:rsid w:val="001D1182"/>
    <w:rsid w:val="001D2389"/>
    <w:rsid w:val="001D3BEB"/>
    <w:rsid w:val="001D3ED5"/>
    <w:rsid w:val="001D55C7"/>
    <w:rsid w:val="001D5FC8"/>
    <w:rsid w:val="001D6E44"/>
    <w:rsid w:val="001D7144"/>
    <w:rsid w:val="001D71E9"/>
    <w:rsid w:val="001D7259"/>
    <w:rsid w:val="001E000C"/>
    <w:rsid w:val="001E0ECE"/>
    <w:rsid w:val="001E1A77"/>
    <w:rsid w:val="001E1DE0"/>
    <w:rsid w:val="001E2A8B"/>
    <w:rsid w:val="001E31F5"/>
    <w:rsid w:val="001E4139"/>
    <w:rsid w:val="001E4FF8"/>
    <w:rsid w:val="001E53EB"/>
    <w:rsid w:val="001E58DF"/>
    <w:rsid w:val="001E5D5C"/>
    <w:rsid w:val="001E646A"/>
    <w:rsid w:val="001E71CB"/>
    <w:rsid w:val="001E7272"/>
    <w:rsid w:val="001F1329"/>
    <w:rsid w:val="001F1F7D"/>
    <w:rsid w:val="001F28BB"/>
    <w:rsid w:val="001F31EA"/>
    <w:rsid w:val="001F384F"/>
    <w:rsid w:val="001F3D5D"/>
    <w:rsid w:val="001F41F4"/>
    <w:rsid w:val="001F4441"/>
    <w:rsid w:val="001F47D1"/>
    <w:rsid w:val="001F54CE"/>
    <w:rsid w:val="001F7499"/>
    <w:rsid w:val="002000EF"/>
    <w:rsid w:val="00201185"/>
    <w:rsid w:val="002016F0"/>
    <w:rsid w:val="00201C98"/>
    <w:rsid w:val="00202EA4"/>
    <w:rsid w:val="00203068"/>
    <w:rsid w:val="0020309C"/>
    <w:rsid w:val="0020464B"/>
    <w:rsid w:val="00204B02"/>
    <w:rsid w:val="00204EE8"/>
    <w:rsid w:val="002058C4"/>
    <w:rsid w:val="00205E90"/>
    <w:rsid w:val="00207908"/>
    <w:rsid w:val="00207A27"/>
    <w:rsid w:val="00211255"/>
    <w:rsid w:val="002125EA"/>
    <w:rsid w:val="002129CC"/>
    <w:rsid w:val="00212E8A"/>
    <w:rsid w:val="002137AD"/>
    <w:rsid w:val="00214203"/>
    <w:rsid w:val="00214697"/>
    <w:rsid w:val="0021538B"/>
    <w:rsid w:val="00215A32"/>
    <w:rsid w:val="00216292"/>
    <w:rsid w:val="002164FE"/>
    <w:rsid w:val="002201BE"/>
    <w:rsid w:val="0022028A"/>
    <w:rsid w:val="002206EF"/>
    <w:rsid w:val="00220A1B"/>
    <w:rsid w:val="00221B5C"/>
    <w:rsid w:val="00221B7B"/>
    <w:rsid w:val="0022238A"/>
    <w:rsid w:val="002223EE"/>
    <w:rsid w:val="002224E9"/>
    <w:rsid w:val="002228F4"/>
    <w:rsid w:val="00224001"/>
    <w:rsid w:val="002243D0"/>
    <w:rsid w:val="002247A3"/>
    <w:rsid w:val="00225783"/>
    <w:rsid w:val="00225EA3"/>
    <w:rsid w:val="002266D3"/>
    <w:rsid w:val="002279DB"/>
    <w:rsid w:val="002310D5"/>
    <w:rsid w:val="00231591"/>
    <w:rsid w:val="0023213B"/>
    <w:rsid w:val="00232CC6"/>
    <w:rsid w:val="002331E4"/>
    <w:rsid w:val="00233C9D"/>
    <w:rsid w:val="002354D7"/>
    <w:rsid w:val="00236E35"/>
    <w:rsid w:val="002377B0"/>
    <w:rsid w:val="00237BFE"/>
    <w:rsid w:val="00240197"/>
    <w:rsid w:val="00240C3D"/>
    <w:rsid w:val="002424E5"/>
    <w:rsid w:val="002429EF"/>
    <w:rsid w:val="00242EBC"/>
    <w:rsid w:val="00243220"/>
    <w:rsid w:val="002432AF"/>
    <w:rsid w:val="00243718"/>
    <w:rsid w:val="0024372F"/>
    <w:rsid w:val="002444AE"/>
    <w:rsid w:val="00245773"/>
    <w:rsid w:val="00246617"/>
    <w:rsid w:val="00246AB3"/>
    <w:rsid w:val="00247972"/>
    <w:rsid w:val="00247A15"/>
    <w:rsid w:val="00247DF0"/>
    <w:rsid w:val="00250170"/>
    <w:rsid w:val="0025181B"/>
    <w:rsid w:val="00252028"/>
    <w:rsid w:val="002537F5"/>
    <w:rsid w:val="0025380B"/>
    <w:rsid w:val="002538C0"/>
    <w:rsid w:val="00253C4B"/>
    <w:rsid w:val="00254617"/>
    <w:rsid w:val="0025491D"/>
    <w:rsid w:val="00254FF4"/>
    <w:rsid w:val="00255717"/>
    <w:rsid w:val="00255838"/>
    <w:rsid w:val="00255D74"/>
    <w:rsid w:val="00257C16"/>
    <w:rsid w:val="00257F8A"/>
    <w:rsid w:val="00261588"/>
    <w:rsid w:val="00261597"/>
    <w:rsid w:val="002615CA"/>
    <w:rsid w:val="00261710"/>
    <w:rsid w:val="00261EE8"/>
    <w:rsid w:val="00262947"/>
    <w:rsid w:val="00262950"/>
    <w:rsid w:val="00262F79"/>
    <w:rsid w:val="00263355"/>
    <w:rsid w:val="00263CFB"/>
    <w:rsid w:val="00264C6B"/>
    <w:rsid w:val="00264F40"/>
    <w:rsid w:val="00265339"/>
    <w:rsid w:val="002667F2"/>
    <w:rsid w:val="0026720A"/>
    <w:rsid w:val="0026773A"/>
    <w:rsid w:val="00267B49"/>
    <w:rsid w:val="002708C7"/>
    <w:rsid w:val="00270C18"/>
    <w:rsid w:val="002714A1"/>
    <w:rsid w:val="002724A1"/>
    <w:rsid w:val="00272BA5"/>
    <w:rsid w:val="00273507"/>
    <w:rsid w:val="00274B16"/>
    <w:rsid w:val="00275241"/>
    <w:rsid w:val="00277270"/>
    <w:rsid w:val="00277BE9"/>
    <w:rsid w:val="002801D5"/>
    <w:rsid w:val="00281283"/>
    <w:rsid w:val="002853A3"/>
    <w:rsid w:val="00285621"/>
    <w:rsid w:val="002860A4"/>
    <w:rsid w:val="0028615A"/>
    <w:rsid w:val="00287EA4"/>
    <w:rsid w:val="00290A8F"/>
    <w:rsid w:val="00290AF1"/>
    <w:rsid w:val="00290F46"/>
    <w:rsid w:val="0029112B"/>
    <w:rsid w:val="00291352"/>
    <w:rsid w:val="00291434"/>
    <w:rsid w:val="00292016"/>
    <w:rsid w:val="00292264"/>
    <w:rsid w:val="002926A8"/>
    <w:rsid w:val="002930CE"/>
    <w:rsid w:val="0029325D"/>
    <w:rsid w:val="00293C1A"/>
    <w:rsid w:val="00293C3A"/>
    <w:rsid w:val="00294DE8"/>
    <w:rsid w:val="00295051"/>
    <w:rsid w:val="00295920"/>
    <w:rsid w:val="002965EA"/>
    <w:rsid w:val="00297100"/>
    <w:rsid w:val="002A0595"/>
    <w:rsid w:val="002A1CDB"/>
    <w:rsid w:val="002A2A69"/>
    <w:rsid w:val="002A2FAC"/>
    <w:rsid w:val="002A300C"/>
    <w:rsid w:val="002A3939"/>
    <w:rsid w:val="002A505C"/>
    <w:rsid w:val="002A5592"/>
    <w:rsid w:val="002A5E9E"/>
    <w:rsid w:val="002A6473"/>
    <w:rsid w:val="002A67F5"/>
    <w:rsid w:val="002A6CD4"/>
    <w:rsid w:val="002A7514"/>
    <w:rsid w:val="002A7E40"/>
    <w:rsid w:val="002B0BF5"/>
    <w:rsid w:val="002B2F81"/>
    <w:rsid w:val="002B33E9"/>
    <w:rsid w:val="002B355E"/>
    <w:rsid w:val="002B3E67"/>
    <w:rsid w:val="002B4CA3"/>
    <w:rsid w:val="002B555D"/>
    <w:rsid w:val="002B5749"/>
    <w:rsid w:val="002B7BA9"/>
    <w:rsid w:val="002C0421"/>
    <w:rsid w:val="002C0B78"/>
    <w:rsid w:val="002C102E"/>
    <w:rsid w:val="002C1DFD"/>
    <w:rsid w:val="002C2F13"/>
    <w:rsid w:val="002C4025"/>
    <w:rsid w:val="002C47EF"/>
    <w:rsid w:val="002C5158"/>
    <w:rsid w:val="002C58BF"/>
    <w:rsid w:val="002C6706"/>
    <w:rsid w:val="002C6B21"/>
    <w:rsid w:val="002C705C"/>
    <w:rsid w:val="002C7EF4"/>
    <w:rsid w:val="002D0530"/>
    <w:rsid w:val="002D05A6"/>
    <w:rsid w:val="002D0AA0"/>
    <w:rsid w:val="002D0AD3"/>
    <w:rsid w:val="002D0AF6"/>
    <w:rsid w:val="002D0CEE"/>
    <w:rsid w:val="002D0E96"/>
    <w:rsid w:val="002D1975"/>
    <w:rsid w:val="002D2261"/>
    <w:rsid w:val="002D230A"/>
    <w:rsid w:val="002D2B08"/>
    <w:rsid w:val="002D357A"/>
    <w:rsid w:val="002D5F32"/>
    <w:rsid w:val="002D6230"/>
    <w:rsid w:val="002D6DCF"/>
    <w:rsid w:val="002D6E3A"/>
    <w:rsid w:val="002D7103"/>
    <w:rsid w:val="002D7508"/>
    <w:rsid w:val="002E0D1B"/>
    <w:rsid w:val="002E1772"/>
    <w:rsid w:val="002E2217"/>
    <w:rsid w:val="002E28EB"/>
    <w:rsid w:val="002E290F"/>
    <w:rsid w:val="002E29A7"/>
    <w:rsid w:val="002E32CD"/>
    <w:rsid w:val="002E3A3B"/>
    <w:rsid w:val="002E3E5F"/>
    <w:rsid w:val="002E45B9"/>
    <w:rsid w:val="002E489F"/>
    <w:rsid w:val="002E547F"/>
    <w:rsid w:val="002E580F"/>
    <w:rsid w:val="002E5B18"/>
    <w:rsid w:val="002E5CF5"/>
    <w:rsid w:val="002E7BF2"/>
    <w:rsid w:val="002E7FF1"/>
    <w:rsid w:val="002F049D"/>
    <w:rsid w:val="002F0A42"/>
    <w:rsid w:val="002F1127"/>
    <w:rsid w:val="002F1314"/>
    <w:rsid w:val="002F17BA"/>
    <w:rsid w:val="002F185A"/>
    <w:rsid w:val="002F1F4A"/>
    <w:rsid w:val="002F232B"/>
    <w:rsid w:val="002F3DB9"/>
    <w:rsid w:val="002F427A"/>
    <w:rsid w:val="002F48D4"/>
    <w:rsid w:val="002F51BD"/>
    <w:rsid w:val="002F54C9"/>
    <w:rsid w:val="002F566B"/>
    <w:rsid w:val="002F7255"/>
    <w:rsid w:val="002F7782"/>
    <w:rsid w:val="002F77D9"/>
    <w:rsid w:val="00300574"/>
    <w:rsid w:val="0030181B"/>
    <w:rsid w:val="003024D4"/>
    <w:rsid w:val="003029DC"/>
    <w:rsid w:val="00302B54"/>
    <w:rsid w:val="00303CDE"/>
    <w:rsid w:val="003045F4"/>
    <w:rsid w:val="00304AF2"/>
    <w:rsid w:val="00304E7D"/>
    <w:rsid w:val="00304EFD"/>
    <w:rsid w:val="0030574F"/>
    <w:rsid w:val="00306202"/>
    <w:rsid w:val="00307D62"/>
    <w:rsid w:val="00307FCA"/>
    <w:rsid w:val="00310554"/>
    <w:rsid w:val="0031235D"/>
    <w:rsid w:val="00312853"/>
    <w:rsid w:val="0031374E"/>
    <w:rsid w:val="003146ED"/>
    <w:rsid w:val="00314D29"/>
    <w:rsid w:val="00315BE0"/>
    <w:rsid w:val="00315BF4"/>
    <w:rsid w:val="00315D82"/>
    <w:rsid w:val="00315DAC"/>
    <w:rsid w:val="00316B0F"/>
    <w:rsid w:val="0031716E"/>
    <w:rsid w:val="003172EE"/>
    <w:rsid w:val="003175FB"/>
    <w:rsid w:val="00321492"/>
    <w:rsid w:val="00322798"/>
    <w:rsid w:val="00322F2D"/>
    <w:rsid w:val="003237A4"/>
    <w:rsid w:val="00323BE3"/>
    <w:rsid w:val="00323C0D"/>
    <w:rsid w:val="00324967"/>
    <w:rsid w:val="00325BAE"/>
    <w:rsid w:val="00325F46"/>
    <w:rsid w:val="00326388"/>
    <w:rsid w:val="0032668B"/>
    <w:rsid w:val="00327233"/>
    <w:rsid w:val="003302F4"/>
    <w:rsid w:val="003307C3"/>
    <w:rsid w:val="00331502"/>
    <w:rsid w:val="00331DBD"/>
    <w:rsid w:val="00331E0D"/>
    <w:rsid w:val="00331FEB"/>
    <w:rsid w:val="003332E2"/>
    <w:rsid w:val="003342DB"/>
    <w:rsid w:val="00334352"/>
    <w:rsid w:val="00334BC5"/>
    <w:rsid w:val="00334CE2"/>
    <w:rsid w:val="00334DD6"/>
    <w:rsid w:val="00335DB9"/>
    <w:rsid w:val="00336528"/>
    <w:rsid w:val="00336B57"/>
    <w:rsid w:val="00337597"/>
    <w:rsid w:val="00337815"/>
    <w:rsid w:val="00337969"/>
    <w:rsid w:val="003379FF"/>
    <w:rsid w:val="00337F65"/>
    <w:rsid w:val="00337FF4"/>
    <w:rsid w:val="003413F0"/>
    <w:rsid w:val="003417F7"/>
    <w:rsid w:val="00341CAB"/>
    <w:rsid w:val="00342EB6"/>
    <w:rsid w:val="00343281"/>
    <w:rsid w:val="003434C4"/>
    <w:rsid w:val="003439F9"/>
    <w:rsid w:val="00343A07"/>
    <w:rsid w:val="00343CB8"/>
    <w:rsid w:val="00344655"/>
    <w:rsid w:val="00345447"/>
    <w:rsid w:val="00345504"/>
    <w:rsid w:val="00345939"/>
    <w:rsid w:val="003474A9"/>
    <w:rsid w:val="00351127"/>
    <w:rsid w:val="00351FCF"/>
    <w:rsid w:val="00352A3F"/>
    <w:rsid w:val="00352B8D"/>
    <w:rsid w:val="00352E72"/>
    <w:rsid w:val="00354B90"/>
    <w:rsid w:val="00354D69"/>
    <w:rsid w:val="00354D9C"/>
    <w:rsid w:val="003555D4"/>
    <w:rsid w:val="003574D0"/>
    <w:rsid w:val="00357544"/>
    <w:rsid w:val="0035773C"/>
    <w:rsid w:val="00360A39"/>
    <w:rsid w:val="00360B5D"/>
    <w:rsid w:val="00360CA9"/>
    <w:rsid w:val="0036143D"/>
    <w:rsid w:val="00361788"/>
    <w:rsid w:val="00361BB1"/>
    <w:rsid w:val="00362075"/>
    <w:rsid w:val="0036217E"/>
    <w:rsid w:val="0036262D"/>
    <w:rsid w:val="00363673"/>
    <w:rsid w:val="0036480C"/>
    <w:rsid w:val="0036488C"/>
    <w:rsid w:val="00366B5B"/>
    <w:rsid w:val="00366BE9"/>
    <w:rsid w:val="00366E5C"/>
    <w:rsid w:val="00367107"/>
    <w:rsid w:val="00367150"/>
    <w:rsid w:val="003671A1"/>
    <w:rsid w:val="00367FCB"/>
    <w:rsid w:val="00370C93"/>
    <w:rsid w:val="00371E13"/>
    <w:rsid w:val="00372575"/>
    <w:rsid w:val="003729B9"/>
    <w:rsid w:val="00372C2A"/>
    <w:rsid w:val="003731CF"/>
    <w:rsid w:val="00375349"/>
    <w:rsid w:val="0037670A"/>
    <w:rsid w:val="00377FA2"/>
    <w:rsid w:val="00380856"/>
    <w:rsid w:val="00382284"/>
    <w:rsid w:val="003836FB"/>
    <w:rsid w:val="003843DE"/>
    <w:rsid w:val="00385833"/>
    <w:rsid w:val="00385CC2"/>
    <w:rsid w:val="00386AEA"/>
    <w:rsid w:val="00387224"/>
    <w:rsid w:val="003878DD"/>
    <w:rsid w:val="00387C75"/>
    <w:rsid w:val="003911D3"/>
    <w:rsid w:val="00391FAB"/>
    <w:rsid w:val="00392029"/>
    <w:rsid w:val="00392626"/>
    <w:rsid w:val="0039281A"/>
    <w:rsid w:val="00392AD4"/>
    <w:rsid w:val="0039429D"/>
    <w:rsid w:val="00394630"/>
    <w:rsid w:val="00396640"/>
    <w:rsid w:val="003966D6"/>
    <w:rsid w:val="003A002E"/>
    <w:rsid w:val="003A132C"/>
    <w:rsid w:val="003A2045"/>
    <w:rsid w:val="003A2543"/>
    <w:rsid w:val="003A2DE0"/>
    <w:rsid w:val="003A4154"/>
    <w:rsid w:val="003A4574"/>
    <w:rsid w:val="003A4ECF"/>
    <w:rsid w:val="003A53CD"/>
    <w:rsid w:val="003A6173"/>
    <w:rsid w:val="003A772D"/>
    <w:rsid w:val="003B0C8C"/>
    <w:rsid w:val="003B141D"/>
    <w:rsid w:val="003B246A"/>
    <w:rsid w:val="003B2A50"/>
    <w:rsid w:val="003B2C7F"/>
    <w:rsid w:val="003B4089"/>
    <w:rsid w:val="003B4E59"/>
    <w:rsid w:val="003B5366"/>
    <w:rsid w:val="003B5CE7"/>
    <w:rsid w:val="003B5EB8"/>
    <w:rsid w:val="003B61E4"/>
    <w:rsid w:val="003B6DD3"/>
    <w:rsid w:val="003B742E"/>
    <w:rsid w:val="003B7452"/>
    <w:rsid w:val="003B79DF"/>
    <w:rsid w:val="003C03E9"/>
    <w:rsid w:val="003C09FE"/>
    <w:rsid w:val="003C1507"/>
    <w:rsid w:val="003C2087"/>
    <w:rsid w:val="003C20A5"/>
    <w:rsid w:val="003C30F7"/>
    <w:rsid w:val="003C39CC"/>
    <w:rsid w:val="003C40FB"/>
    <w:rsid w:val="003C42E6"/>
    <w:rsid w:val="003C5228"/>
    <w:rsid w:val="003C534F"/>
    <w:rsid w:val="003C5E02"/>
    <w:rsid w:val="003C6851"/>
    <w:rsid w:val="003C6A55"/>
    <w:rsid w:val="003C6B8A"/>
    <w:rsid w:val="003C71F3"/>
    <w:rsid w:val="003C7DEA"/>
    <w:rsid w:val="003C7FD5"/>
    <w:rsid w:val="003D0BB2"/>
    <w:rsid w:val="003D10B7"/>
    <w:rsid w:val="003D1536"/>
    <w:rsid w:val="003D29E9"/>
    <w:rsid w:val="003D2BBD"/>
    <w:rsid w:val="003D3650"/>
    <w:rsid w:val="003D3BF5"/>
    <w:rsid w:val="003D3F93"/>
    <w:rsid w:val="003D4C03"/>
    <w:rsid w:val="003D53D8"/>
    <w:rsid w:val="003D55AE"/>
    <w:rsid w:val="003D5727"/>
    <w:rsid w:val="003D5FC7"/>
    <w:rsid w:val="003D6B4A"/>
    <w:rsid w:val="003D6F79"/>
    <w:rsid w:val="003D746D"/>
    <w:rsid w:val="003D7A58"/>
    <w:rsid w:val="003E0AD8"/>
    <w:rsid w:val="003E0ADC"/>
    <w:rsid w:val="003E0E2D"/>
    <w:rsid w:val="003E2779"/>
    <w:rsid w:val="003E353E"/>
    <w:rsid w:val="003E36C7"/>
    <w:rsid w:val="003E5461"/>
    <w:rsid w:val="003E6423"/>
    <w:rsid w:val="003E6B51"/>
    <w:rsid w:val="003E703C"/>
    <w:rsid w:val="003E71A6"/>
    <w:rsid w:val="003F003F"/>
    <w:rsid w:val="003F0590"/>
    <w:rsid w:val="003F071F"/>
    <w:rsid w:val="003F1FD9"/>
    <w:rsid w:val="003F2118"/>
    <w:rsid w:val="003F2AD7"/>
    <w:rsid w:val="003F3839"/>
    <w:rsid w:val="003F39DF"/>
    <w:rsid w:val="003F402A"/>
    <w:rsid w:val="003F47B3"/>
    <w:rsid w:val="003F47FB"/>
    <w:rsid w:val="003F62B4"/>
    <w:rsid w:val="003F6D5F"/>
    <w:rsid w:val="003F7527"/>
    <w:rsid w:val="003F7883"/>
    <w:rsid w:val="004000BA"/>
    <w:rsid w:val="00400588"/>
    <w:rsid w:val="00401A20"/>
    <w:rsid w:val="0040311B"/>
    <w:rsid w:val="00403A9B"/>
    <w:rsid w:val="00405BB4"/>
    <w:rsid w:val="00405EC2"/>
    <w:rsid w:val="004063BD"/>
    <w:rsid w:val="004063D6"/>
    <w:rsid w:val="00406A6D"/>
    <w:rsid w:val="00407210"/>
    <w:rsid w:val="004078FD"/>
    <w:rsid w:val="00410097"/>
    <w:rsid w:val="004107B3"/>
    <w:rsid w:val="00410844"/>
    <w:rsid w:val="00410F56"/>
    <w:rsid w:val="00410FE7"/>
    <w:rsid w:val="004116B5"/>
    <w:rsid w:val="00411C50"/>
    <w:rsid w:val="0041238A"/>
    <w:rsid w:val="00413304"/>
    <w:rsid w:val="0041337C"/>
    <w:rsid w:val="0041382C"/>
    <w:rsid w:val="004168DB"/>
    <w:rsid w:val="00417139"/>
    <w:rsid w:val="00417562"/>
    <w:rsid w:val="0042021F"/>
    <w:rsid w:val="00420481"/>
    <w:rsid w:val="00420528"/>
    <w:rsid w:val="00421091"/>
    <w:rsid w:val="00421D06"/>
    <w:rsid w:val="004226B8"/>
    <w:rsid w:val="004227C4"/>
    <w:rsid w:val="00423019"/>
    <w:rsid w:val="00423679"/>
    <w:rsid w:val="0042381A"/>
    <w:rsid w:val="00423FC4"/>
    <w:rsid w:val="00425C83"/>
    <w:rsid w:val="00425D35"/>
    <w:rsid w:val="004262AB"/>
    <w:rsid w:val="00426C64"/>
    <w:rsid w:val="00426D75"/>
    <w:rsid w:val="00427E49"/>
    <w:rsid w:val="00430152"/>
    <w:rsid w:val="00430A44"/>
    <w:rsid w:val="00431069"/>
    <w:rsid w:val="004320B2"/>
    <w:rsid w:val="00432133"/>
    <w:rsid w:val="00432620"/>
    <w:rsid w:val="004329F5"/>
    <w:rsid w:val="00432B38"/>
    <w:rsid w:val="00433283"/>
    <w:rsid w:val="004333A4"/>
    <w:rsid w:val="004336A7"/>
    <w:rsid w:val="00433909"/>
    <w:rsid w:val="00433EE7"/>
    <w:rsid w:val="004349B8"/>
    <w:rsid w:val="00434B8E"/>
    <w:rsid w:val="00434DC0"/>
    <w:rsid w:val="004372FD"/>
    <w:rsid w:val="00440428"/>
    <w:rsid w:val="00440F4D"/>
    <w:rsid w:val="00441C09"/>
    <w:rsid w:val="0044204C"/>
    <w:rsid w:val="00442489"/>
    <w:rsid w:val="004434D9"/>
    <w:rsid w:val="00443D53"/>
    <w:rsid w:val="00443F07"/>
    <w:rsid w:val="004443A2"/>
    <w:rsid w:val="004459BE"/>
    <w:rsid w:val="00445B43"/>
    <w:rsid w:val="004477A1"/>
    <w:rsid w:val="00447803"/>
    <w:rsid w:val="00447AF6"/>
    <w:rsid w:val="00447BC1"/>
    <w:rsid w:val="00447CE3"/>
    <w:rsid w:val="00447F23"/>
    <w:rsid w:val="00450246"/>
    <w:rsid w:val="004504C7"/>
    <w:rsid w:val="00450AA0"/>
    <w:rsid w:val="00450E87"/>
    <w:rsid w:val="0045173D"/>
    <w:rsid w:val="004529DB"/>
    <w:rsid w:val="004536C2"/>
    <w:rsid w:val="00453AEA"/>
    <w:rsid w:val="004544E9"/>
    <w:rsid w:val="00454582"/>
    <w:rsid w:val="0045611C"/>
    <w:rsid w:val="00456571"/>
    <w:rsid w:val="00460AD3"/>
    <w:rsid w:val="00460B5D"/>
    <w:rsid w:val="00461ABC"/>
    <w:rsid w:val="00461B16"/>
    <w:rsid w:val="00461B7A"/>
    <w:rsid w:val="00461DE2"/>
    <w:rsid w:val="00461EBD"/>
    <w:rsid w:val="00462C92"/>
    <w:rsid w:val="00462D0F"/>
    <w:rsid w:val="00463877"/>
    <w:rsid w:val="00464085"/>
    <w:rsid w:val="004644E3"/>
    <w:rsid w:val="00466468"/>
    <w:rsid w:val="00466AB7"/>
    <w:rsid w:val="00470C0C"/>
    <w:rsid w:val="004710C0"/>
    <w:rsid w:val="00471A8B"/>
    <w:rsid w:val="0047223B"/>
    <w:rsid w:val="004722E0"/>
    <w:rsid w:val="00474349"/>
    <w:rsid w:val="004757C8"/>
    <w:rsid w:val="00476248"/>
    <w:rsid w:val="004764A8"/>
    <w:rsid w:val="004769A8"/>
    <w:rsid w:val="00476ECD"/>
    <w:rsid w:val="00476F21"/>
    <w:rsid w:val="00477645"/>
    <w:rsid w:val="00477A5A"/>
    <w:rsid w:val="00477D43"/>
    <w:rsid w:val="00477EE0"/>
    <w:rsid w:val="0048053E"/>
    <w:rsid w:val="00480560"/>
    <w:rsid w:val="00480A04"/>
    <w:rsid w:val="00480A2C"/>
    <w:rsid w:val="00482FCD"/>
    <w:rsid w:val="0048365D"/>
    <w:rsid w:val="00483776"/>
    <w:rsid w:val="00485020"/>
    <w:rsid w:val="004855D8"/>
    <w:rsid w:val="004862BC"/>
    <w:rsid w:val="004863D2"/>
    <w:rsid w:val="0048668F"/>
    <w:rsid w:val="00486C70"/>
    <w:rsid w:val="00486C8E"/>
    <w:rsid w:val="004872B7"/>
    <w:rsid w:val="0048732D"/>
    <w:rsid w:val="004878FB"/>
    <w:rsid w:val="00490676"/>
    <w:rsid w:val="00490A8E"/>
    <w:rsid w:val="004910F2"/>
    <w:rsid w:val="00491BAA"/>
    <w:rsid w:val="004925FA"/>
    <w:rsid w:val="004928AB"/>
    <w:rsid w:val="00493ADE"/>
    <w:rsid w:val="00494109"/>
    <w:rsid w:val="00494720"/>
    <w:rsid w:val="00494A20"/>
    <w:rsid w:val="00494B54"/>
    <w:rsid w:val="00495BAE"/>
    <w:rsid w:val="004960E3"/>
    <w:rsid w:val="00496361"/>
    <w:rsid w:val="0049715D"/>
    <w:rsid w:val="00497923"/>
    <w:rsid w:val="004A05BF"/>
    <w:rsid w:val="004A17BF"/>
    <w:rsid w:val="004A238F"/>
    <w:rsid w:val="004A2648"/>
    <w:rsid w:val="004A3662"/>
    <w:rsid w:val="004A382D"/>
    <w:rsid w:val="004A4693"/>
    <w:rsid w:val="004A4AF8"/>
    <w:rsid w:val="004A4D62"/>
    <w:rsid w:val="004A5FBF"/>
    <w:rsid w:val="004A6947"/>
    <w:rsid w:val="004A7125"/>
    <w:rsid w:val="004A7336"/>
    <w:rsid w:val="004A7E83"/>
    <w:rsid w:val="004B0A56"/>
    <w:rsid w:val="004B0F75"/>
    <w:rsid w:val="004B11A7"/>
    <w:rsid w:val="004B2B00"/>
    <w:rsid w:val="004B3191"/>
    <w:rsid w:val="004B42E7"/>
    <w:rsid w:val="004B5F60"/>
    <w:rsid w:val="004B60CA"/>
    <w:rsid w:val="004B6201"/>
    <w:rsid w:val="004B665B"/>
    <w:rsid w:val="004B6933"/>
    <w:rsid w:val="004B69D6"/>
    <w:rsid w:val="004B70E2"/>
    <w:rsid w:val="004B74E3"/>
    <w:rsid w:val="004B7A21"/>
    <w:rsid w:val="004C01FF"/>
    <w:rsid w:val="004C07FE"/>
    <w:rsid w:val="004C0E96"/>
    <w:rsid w:val="004C1718"/>
    <w:rsid w:val="004C23B4"/>
    <w:rsid w:val="004C3627"/>
    <w:rsid w:val="004C3C3E"/>
    <w:rsid w:val="004C3CBF"/>
    <w:rsid w:val="004C464C"/>
    <w:rsid w:val="004C4732"/>
    <w:rsid w:val="004C6AA9"/>
    <w:rsid w:val="004C6ACC"/>
    <w:rsid w:val="004C6E04"/>
    <w:rsid w:val="004D0961"/>
    <w:rsid w:val="004D125E"/>
    <w:rsid w:val="004D1299"/>
    <w:rsid w:val="004D1853"/>
    <w:rsid w:val="004D1CED"/>
    <w:rsid w:val="004D357C"/>
    <w:rsid w:val="004D35AD"/>
    <w:rsid w:val="004D4459"/>
    <w:rsid w:val="004D6D7D"/>
    <w:rsid w:val="004D72CA"/>
    <w:rsid w:val="004D7A70"/>
    <w:rsid w:val="004E0EC5"/>
    <w:rsid w:val="004E120E"/>
    <w:rsid w:val="004E26C4"/>
    <w:rsid w:val="004E3294"/>
    <w:rsid w:val="004E461F"/>
    <w:rsid w:val="004E4FDD"/>
    <w:rsid w:val="004E5D46"/>
    <w:rsid w:val="004E6A7A"/>
    <w:rsid w:val="004E78B8"/>
    <w:rsid w:val="004E7967"/>
    <w:rsid w:val="004F0605"/>
    <w:rsid w:val="004F06EA"/>
    <w:rsid w:val="004F27CF"/>
    <w:rsid w:val="004F29D8"/>
    <w:rsid w:val="004F2C4C"/>
    <w:rsid w:val="004F3585"/>
    <w:rsid w:val="004F3B3A"/>
    <w:rsid w:val="004F3C7C"/>
    <w:rsid w:val="004F401D"/>
    <w:rsid w:val="004F4076"/>
    <w:rsid w:val="004F541A"/>
    <w:rsid w:val="004F570C"/>
    <w:rsid w:val="004F6D2D"/>
    <w:rsid w:val="004F710F"/>
    <w:rsid w:val="004F7385"/>
    <w:rsid w:val="004F7395"/>
    <w:rsid w:val="004F76E2"/>
    <w:rsid w:val="004F7912"/>
    <w:rsid w:val="00502829"/>
    <w:rsid w:val="00502CEF"/>
    <w:rsid w:val="00503953"/>
    <w:rsid w:val="00504EBF"/>
    <w:rsid w:val="0050524C"/>
    <w:rsid w:val="005052F0"/>
    <w:rsid w:val="00505C32"/>
    <w:rsid w:val="00505F81"/>
    <w:rsid w:val="00506748"/>
    <w:rsid w:val="005067A8"/>
    <w:rsid w:val="00506E5C"/>
    <w:rsid w:val="00507EE2"/>
    <w:rsid w:val="0051137F"/>
    <w:rsid w:val="005115D6"/>
    <w:rsid w:val="0051169B"/>
    <w:rsid w:val="00512103"/>
    <w:rsid w:val="005121A0"/>
    <w:rsid w:val="00512597"/>
    <w:rsid w:val="00512A70"/>
    <w:rsid w:val="00512AC1"/>
    <w:rsid w:val="00512D48"/>
    <w:rsid w:val="00514EB8"/>
    <w:rsid w:val="00515877"/>
    <w:rsid w:val="0051673C"/>
    <w:rsid w:val="005169BB"/>
    <w:rsid w:val="0052014E"/>
    <w:rsid w:val="00521D1C"/>
    <w:rsid w:val="00521D36"/>
    <w:rsid w:val="005220E1"/>
    <w:rsid w:val="005225E0"/>
    <w:rsid w:val="0052297A"/>
    <w:rsid w:val="00522992"/>
    <w:rsid w:val="00522A51"/>
    <w:rsid w:val="00523452"/>
    <w:rsid w:val="00523C4F"/>
    <w:rsid w:val="00523E1B"/>
    <w:rsid w:val="00524517"/>
    <w:rsid w:val="005248B7"/>
    <w:rsid w:val="005249C5"/>
    <w:rsid w:val="00524CB1"/>
    <w:rsid w:val="00525244"/>
    <w:rsid w:val="0052539D"/>
    <w:rsid w:val="00525866"/>
    <w:rsid w:val="005277FE"/>
    <w:rsid w:val="00527A9F"/>
    <w:rsid w:val="00527D7E"/>
    <w:rsid w:val="00527F4C"/>
    <w:rsid w:val="00530BA6"/>
    <w:rsid w:val="00531937"/>
    <w:rsid w:val="00531999"/>
    <w:rsid w:val="00531C08"/>
    <w:rsid w:val="00532607"/>
    <w:rsid w:val="00532C20"/>
    <w:rsid w:val="00534502"/>
    <w:rsid w:val="00535056"/>
    <w:rsid w:val="00536017"/>
    <w:rsid w:val="0053651E"/>
    <w:rsid w:val="00537AF1"/>
    <w:rsid w:val="00540070"/>
    <w:rsid w:val="00541052"/>
    <w:rsid w:val="00541179"/>
    <w:rsid w:val="00543698"/>
    <w:rsid w:val="00543803"/>
    <w:rsid w:val="00543906"/>
    <w:rsid w:val="00543988"/>
    <w:rsid w:val="0054462D"/>
    <w:rsid w:val="00544DF4"/>
    <w:rsid w:val="00544E58"/>
    <w:rsid w:val="0054543E"/>
    <w:rsid w:val="00546014"/>
    <w:rsid w:val="00546725"/>
    <w:rsid w:val="0054692A"/>
    <w:rsid w:val="00546ADB"/>
    <w:rsid w:val="00547983"/>
    <w:rsid w:val="00547A27"/>
    <w:rsid w:val="00547AD7"/>
    <w:rsid w:val="00547E99"/>
    <w:rsid w:val="00550F07"/>
    <w:rsid w:val="0055110F"/>
    <w:rsid w:val="0055132F"/>
    <w:rsid w:val="005523C8"/>
    <w:rsid w:val="0055275F"/>
    <w:rsid w:val="00554347"/>
    <w:rsid w:val="00554B22"/>
    <w:rsid w:val="00554D35"/>
    <w:rsid w:val="005550E8"/>
    <w:rsid w:val="0055560B"/>
    <w:rsid w:val="00555FCC"/>
    <w:rsid w:val="005563B1"/>
    <w:rsid w:val="0055695B"/>
    <w:rsid w:val="00560056"/>
    <w:rsid w:val="00560261"/>
    <w:rsid w:val="0056070F"/>
    <w:rsid w:val="0056074B"/>
    <w:rsid w:val="00560AF9"/>
    <w:rsid w:val="00560B26"/>
    <w:rsid w:val="00560B9C"/>
    <w:rsid w:val="00560E52"/>
    <w:rsid w:val="00561286"/>
    <w:rsid w:val="00561F6F"/>
    <w:rsid w:val="005620AD"/>
    <w:rsid w:val="00563B43"/>
    <w:rsid w:val="00563E49"/>
    <w:rsid w:val="00563E51"/>
    <w:rsid w:val="00564569"/>
    <w:rsid w:val="00565959"/>
    <w:rsid w:val="005679D7"/>
    <w:rsid w:val="00567B27"/>
    <w:rsid w:val="00570114"/>
    <w:rsid w:val="005704DC"/>
    <w:rsid w:val="00571552"/>
    <w:rsid w:val="005718D9"/>
    <w:rsid w:val="00571930"/>
    <w:rsid w:val="00572B64"/>
    <w:rsid w:val="00572C1F"/>
    <w:rsid w:val="00572C86"/>
    <w:rsid w:val="0057491D"/>
    <w:rsid w:val="005753AC"/>
    <w:rsid w:val="00575610"/>
    <w:rsid w:val="00575CDC"/>
    <w:rsid w:val="005762D3"/>
    <w:rsid w:val="00576E63"/>
    <w:rsid w:val="00577FEA"/>
    <w:rsid w:val="005808C6"/>
    <w:rsid w:val="005838D4"/>
    <w:rsid w:val="00583F89"/>
    <w:rsid w:val="005842B5"/>
    <w:rsid w:val="00584E0D"/>
    <w:rsid w:val="0058506E"/>
    <w:rsid w:val="00585F3C"/>
    <w:rsid w:val="005867CF"/>
    <w:rsid w:val="0058709F"/>
    <w:rsid w:val="00587193"/>
    <w:rsid w:val="005907C6"/>
    <w:rsid w:val="00591763"/>
    <w:rsid w:val="005918B0"/>
    <w:rsid w:val="005921F9"/>
    <w:rsid w:val="00592E0E"/>
    <w:rsid w:val="0059319B"/>
    <w:rsid w:val="00593D62"/>
    <w:rsid w:val="005944F7"/>
    <w:rsid w:val="00595BAD"/>
    <w:rsid w:val="005967D1"/>
    <w:rsid w:val="00596C60"/>
    <w:rsid w:val="00597BFF"/>
    <w:rsid w:val="005A0501"/>
    <w:rsid w:val="005A0692"/>
    <w:rsid w:val="005A14B9"/>
    <w:rsid w:val="005A1A2E"/>
    <w:rsid w:val="005A233F"/>
    <w:rsid w:val="005A2DE3"/>
    <w:rsid w:val="005A3160"/>
    <w:rsid w:val="005A354C"/>
    <w:rsid w:val="005A3E8C"/>
    <w:rsid w:val="005A49CF"/>
    <w:rsid w:val="005A4ABC"/>
    <w:rsid w:val="005A4D94"/>
    <w:rsid w:val="005A5E69"/>
    <w:rsid w:val="005A72FB"/>
    <w:rsid w:val="005A7423"/>
    <w:rsid w:val="005A7C64"/>
    <w:rsid w:val="005B0366"/>
    <w:rsid w:val="005B12C0"/>
    <w:rsid w:val="005B15A2"/>
    <w:rsid w:val="005B1DB8"/>
    <w:rsid w:val="005B2141"/>
    <w:rsid w:val="005B24EE"/>
    <w:rsid w:val="005B2ED7"/>
    <w:rsid w:val="005B3244"/>
    <w:rsid w:val="005B335D"/>
    <w:rsid w:val="005B37AC"/>
    <w:rsid w:val="005B38AE"/>
    <w:rsid w:val="005B3AB8"/>
    <w:rsid w:val="005B3AC3"/>
    <w:rsid w:val="005B5D09"/>
    <w:rsid w:val="005B6439"/>
    <w:rsid w:val="005B756D"/>
    <w:rsid w:val="005C1D65"/>
    <w:rsid w:val="005C346E"/>
    <w:rsid w:val="005C352A"/>
    <w:rsid w:val="005C456E"/>
    <w:rsid w:val="005C47F7"/>
    <w:rsid w:val="005C4FCF"/>
    <w:rsid w:val="005C50AE"/>
    <w:rsid w:val="005C55EF"/>
    <w:rsid w:val="005C5A44"/>
    <w:rsid w:val="005C6641"/>
    <w:rsid w:val="005C6852"/>
    <w:rsid w:val="005C7302"/>
    <w:rsid w:val="005D0E79"/>
    <w:rsid w:val="005D1C94"/>
    <w:rsid w:val="005D21D1"/>
    <w:rsid w:val="005D295E"/>
    <w:rsid w:val="005D334A"/>
    <w:rsid w:val="005D3A59"/>
    <w:rsid w:val="005D45A5"/>
    <w:rsid w:val="005D4A73"/>
    <w:rsid w:val="005D5CD3"/>
    <w:rsid w:val="005D6102"/>
    <w:rsid w:val="005D6843"/>
    <w:rsid w:val="005E0837"/>
    <w:rsid w:val="005E2B1D"/>
    <w:rsid w:val="005E315F"/>
    <w:rsid w:val="005E3A0F"/>
    <w:rsid w:val="005E4359"/>
    <w:rsid w:val="005E4682"/>
    <w:rsid w:val="005E4AB5"/>
    <w:rsid w:val="005E5D45"/>
    <w:rsid w:val="005E647F"/>
    <w:rsid w:val="005E64D8"/>
    <w:rsid w:val="005E68BB"/>
    <w:rsid w:val="005E691C"/>
    <w:rsid w:val="005E6FA3"/>
    <w:rsid w:val="005E78E3"/>
    <w:rsid w:val="005E78FF"/>
    <w:rsid w:val="005E7A1A"/>
    <w:rsid w:val="005F05A1"/>
    <w:rsid w:val="005F1AB6"/>
    <w:rsid w:val="005F1DC4"/>
    <w:rsid w:val="005F2D77"/>
    <w:rsid w:val="005F322D"/>
    <w:rsid w:val="005F3393"/>
    <w:rsid w:val="005F3C68"/>
    <w:rsid w:val="005F410A"/>
    <w:rsid w:val="005F4449"/>
    <w:rsid w:val="005F4539"/>
    <w:rsid w:val="005F5282"/>
    <w:rsid w:val="005F5A3C"/>
    <w:rsid w:val="005F5E2A"/>
    <w:rsid w:val="005F62E7"/>
    <w:rsid w:val="005F74A2"/>
    <w:rsid w:val="005F7955"/>
    <w:rsid w:val="006005F1"/>
    <w:rsid w:val="00600620"/>
    <w:rsid w:val="0060284F"/>
    <w:rsid w:val="00602EBD"/>
    <w:rsid w:val="00603156"/>
    <w:rsid w:val="006035FA"/>
    <w:rsid w:val="00603DF9"/>
    <w:rsid w:val="006042F2"/>
    <w:rsid w:val="00604C09"/>
    <w:rsid w:val="006054DE"/>
    <w:rsid w:val="00606BEA"/>
    <w:rsid w:val="00607090"/>
    <w:rsid w:val="00607A7B"/>
    <w:rsid w:val="00607B90"/>
    <w:rsid w:val="0061011C"/>
    <w:rsid w:val="0061097A"/>
    <w:rsid w:val="006115AC"/>
    <w:rsid w:val="00611DC8"/>
    <w:rsid w:val="00612059"/>
    <w:rsid w:val="00612A58"/>
    <w:rsid w:val="00612E32"/>
    <w:rsid w:val="006132A8"/>
    <w:rsid w:val="00613578"/>
    <w:rsid w:val="0061369A"/>
    <w:rsid w:val="006138F7"/>
    <w:rsid w:val="006151E6"/>
    <w:rsid w:val="00616A45"/>
    <w:rsid w:val="00616BB8"/>
    <w:rsid w:val="00616D4D"/>
    <w:rsid w:val="00616DDF"/>
    <w:rsid w:val="0061762E"/>
    <w:rsid w:val="00617F12"/>
    <w:rsid w:val="00621BCE"/>
    <w:rsid w:val="00621D28"/>
    <w:rsid w:val="00621D86"/>
    <w:rsid w:val="006221EE"/>
    <w:rsid w:val="00624C85"/>
    <w:rsid w:val="00624E3D"/>
    <w:rsid w:val="006252F8"/>
    <w:rsid w:val="00626363"/>
    <w:rsid w:val="00626420"/>
    <w:rsid w:val="0062723B"/>
    <w:rsid w:val="00627358"/>
    <w:rsid w:val="00627868"/>
    <w:rsid w:val="00627906"/>
    <w:rsid w:val="00627C08"/>
    <w:rsid w:val="00630D24"/>
    <w:rsid w:val="00631349"/>
    <w:rsid w:val="00632AE6"/>
    <w:rsid w:val="0063336C"/>
    <w:rsid w:val="00633DEE"/>
    <w:rsid w:val="00634D85"/>
    <w:rsid w:val="006358FE"/>
    <w:rsid w:val="00636004"/>
    <w:rsid w:val="00636362"/>
    <w:rsid w:val="00636664"/>
    <w:rsid w:val="00636B55"/>
    <w:rsid w:val="00636CF5"/>
    <w:rsid w:val="00636E9E"/>
    <w:rsid w:val="00637E1D"/>
    <w:rsid w:val="0064097F"/>
    <w:rsid w:val="00640D50"/>
    <w:rsid w:val="00641280"/>
    <w:rsid w:val="00641598"/>
    <w:rsid w:val="006426E8"/>
    <w:rsid w:val="00642E2E"/>
    <w:rsid w:val="00643583"/>
    <w:rsid w:val="00643D2F"/>
    <w:rsid w:val="00644219"/>
    <w:rsid w:val="006443BD"/>
    <w:rsid w:val="00644EC7"/>
    <w:rsid w:val="00645CC0"/>
    <w:rsid w:val="006474FD"/>
    <w:rsid w:val="00647FC2"/>
    <w:rsid w:val="00650FE7"/>
    <w:rsid w:val="00651257"/>
    <w:rsid w:val="00651765"/>
    <w:rsid w:val="00651AA0"/>
    <w:rsid w:val="006520DE"/>
    <w:rsid w:val="006523B5"/>
    <w:rsid w:val="00652718"/>
    <w:rsid w:val="006535A1"/>
    <w:rsid w:val="00654254"/>
    <w:rsid w:val="006542E6"/>
    <w:rsid w:val="0065440F"/>
    <w:rsid w:val="006559F5"/>
    <w:rsid w:val="00655C95"/>
    <w:rsid w:val="00656419"/>
    <w:rsid w:val="00656B67"/>
    <w:rsid w:val="00657724"/>
    <w:rsid w:val="00657A97"/>
    <w:rsid w:val="00657FB8"/>
    <w:rsid w:val="00661951"/>
    <w:rsid w:val="00661F4D"/>
    <w:rsid w:val="00662350"/>
    <w:rsid w:val="00662CF1"/>
    <w:rsid w:val="00663852"/>
    <w:rsid w:val="0066493B"/>
    <w:rsid w:val="0066562D"/>
    <w:rsid w:val="00665926"/>
    <w:rsid w:val="00666699"/>
    <w:rsid w:val="00667CD2"/>
    <w:rsid w:val="00670841"/>
    <w:rsid w:val="00670CAD"/>
    <w:rsid w:val="006711B9"/>
    <w:rsid w:val="0067235F"/>
    <w:rsid w:val="006726C8"/>
    <w:rsid w:val="0067270A"/>
    <w:rsid w:val="006734C4"/>
    <w:rsid w:val="00673C39"/>
    <w:rsid w:val="00674D4D"/>
    <w:rsid w:val="00674F7A"/>
    <w:rsid w:val="00674FA0"/>
    <w:rsid w:val="0067510C"/>
    <w:rsid w:val="00676C97"/>
    <w:rsid w:val="00676D63"/>
    <w:rsid w:val="00677BE8"/>
    <w:rsid w:val="006803C1"/>
    <w:rsid w:val="00680467"/>
    <w:rsid w:val="0068134C"/>
    <w:rsid w:val="006814DC"/>
    <w:rsid w:val="006819D6"/>
    <w:rsid w:val="00682014"/>
    <w:rsid w:val="00683361"/>
    <w:rsid w:val="00683E73"/>
    <w:rsid w:val="00684484"/>
    <w:rsid w:val="006845A0"/>
    <w:rsid w:val="00684765"/>
    <w:rsid w:val="00684D20"/>
    <w:rsid w:val="00685CD9"/>
    <w:rsid w:val="006868CD"/>
    <w:rsid w:val="006875E0"/>
    <w:rsid w:val="00687787"/>
    <w:rsid w:val="006878B4"/>
    <w:rsid w:val="00687FCE"/>
    <w:rsid w:val="006903F2"/>
    <w:rsid w:val="006907B5"/>
    <w:rsid w:val="0069130C"/>
    <w:rsid w:val="00691425"/>
    <w:rsid w:val="00691471"/>
    <w:rsid w:val="00692028"/>
    <w:rsid w:val="00692540"/>
    <w:rsid w:val="006938E5"/>
    <w:rsid w:val="00693CB2"/>
    <w:rsid w:val="0069401E"/>
    <w:rsid w:val="00694309"/>
    <w:rsid w:val="006947F0"/>
    <w:rsid w:val="0069495E"/>
    <w:rsid w:val="006951B5"/>
    <w:rsid w:val="00695F5F"/>
    <w:rsid w:val="0069605A"/>
    <w:rsid w:val="006966E7"/>
    <w:rsid w:val="00696FDD"/>
    <w:rsid w:val="006A145D"/>
    <w:rsid w:val="006A2A12"/>
    <w:rsid w:val="006A2AB7"/>
    <w:rsid w:val="006A4377"/>
    <w:rsid w:val="006A45A4"/>
    <w:rsid w:val="006A4F71"/>
    <w:rsid w:val="006A5540"/>
    <w:rsid w:val="006A55A1"/>
    <w:rsid w:val="006A75E3"/>
    <w:rsid w:val="006A778A"/>
    <w:rsid w:val="006A7926"/>
    <w:rsid w:val="006B03E3"/>
    <w:rsid w:val="006B066F"/>
    <w:rsid w:val="006B10B7"/>
    <w:rsid w:val="006B1490"/>
    <w:rsid w:val="006B3B77"/>
    <w:rsid w:val="006B3C22"/>
    <w:rsid w:val="006B3DF8"/>
    <w:rsid w:val="006B5538"/>
    <w:rsid w:val="006B5BBF"/>
    <w:rsid w:val="006B66C7"/>
    <w:rsid w:val="006B66F2"/>
    <w:rsid w:val="006B68A1"/>
    <w:rsid w:val="006C2AF5"/>
    <w:rsid w:val="006C4A70"/>
    <w:rsid w:val="006C4FA0"/>
    <w:rsid w:val="006C559B"/>
    <w:rsid w:val="006C5611"/>
    <w:rsid w:val="006C6B99"/>
    <w:rsid w:val="006C6DE4"/>
    <w:rsid w:val="006C73A9"/>
    <w:rsid w:val="006C758E"/>
    <w:rsid w:val="006C761D"/>
    <w:rsid w:val="006C7825"/>
    <w:rsid w:val="006D05BE"/>
    <w:rsid w:val="006D16EF"/>
    <w:rsid w:val="006D1C29"/>
    <w:rsid w:val="006D200D"/>
    <w:rsid w:val="006D2548"/>
    <w:rsid w:val="006D27E1"/>
    <w:rsid w:val="006D3930"/>
    <w:rsid w:val="006D405B"/>
    <w:rsid w:val="006D4918"/>
    <w:rsid w:val="006D4F1B"/>
    <w:rsid w:val="006D55B6"/>
    <w:rsid w:val="006D6CB3"/>
    <w:rsid w:val="006E1717"/>
    <w:rsid w:val="006E1C47"/>
    <w:rsid w:val="006E211E"/>
    <w:rsid w:val="006E3DEB"/>
    <w:rsid w:val="006E438F"/>
    <w:rsid w:val="006E4CC3"/>
    <w:rsid w:val="006E4CC4"/>
    <w:rsid w:val="006E4F82"/>
    <w:rsid w:val="006E5757"/>
    <w:rsid w:val="006E5DF1"/>
    <w:rsid w:val="006E79F3"/>
    <w:rsid w:val="006E7FD2"/>
    <w:rsid w:val="006F0327"/>
    <w:rsid w:val="006F0589"/>
    <w:rsid w:val="006F078F"/>
    <w:rsid w:val="006F13DA"/>
    <w:rsid w:val="006F15D0"/>
    <w:rsid w:val="006F18DE"/>
    <w:rsid w:val="006F1DEF"/>
    <w:rsid w:val="006F21A5"/>
    <w:rsid w:val="006F2886"/>
    <w:rsid w:val="006F3344"/>
    <w:rsid w:val="006F5CA0"/>
    <w:rsid w:val="006F6D72"/>
    <w:rsid w:val="006F6FCA"/>
    <w:rsid w:val="006F70FD"/>
    <w:rsid w:val="006F7728"/>
    <w:rsid w:val="006F7E3B"/>
    <w:rsid w:val="007000C0"/>
    <w:rsid w:val="00700D21"/>
    <w:rsid w:val="00701297"/>
    <w:rsid w:val="00701C37"/>
    <w:rsid w:val="00702434"/>
    <w:rsid w:val="00702BD1"/>
    <w:rsid w:val="00702FC9"/>
    <w:rsid w:val="00703891"/>
    <w:rsid w:val="007048E1"/>
    <w:rsid w:val="00704D0D"/>
    <w:rsid w:val="00705720"/>
    <w:rsid w:val="0070671F"/>
    <w:rsid w:val="007075D8"/>
    <w:rsid w:val="0071139D"/>
    <w:rsid w:val="00711A8F"/>
    <w:rsid w:val="00711AE8"/>
    <w:rsid w:val="007127D1"/>
    <w:rsid w:val="00712E5C"/>
    <w:rsid w:val="007136B2"/>
    <w:rsid w:val="00714B85"/>
    <w:rsid w:val="007150CE"/>
    <w:rsid w:val="00715FAD"/>
    <w:rsid w:val="007162B9"/>
    <w:rsid w:val="007164B7"/>
    <w:rsid w:val="00716545"/>
    <w:rsid w:val="00717101"/>
    <w:rsid w:val="00717665"/>
    <w:rsid w:val="007176EE"/>
    <w:rsid w:val="0071773F"/>
    <w:rsid w:val="007178A8"/>
    <w:rsid w:val="00720416"/>
    <w:rsid w:val="0072080E"/>
    <w:rsid w:val="007208AB"/>
    <w:rsid w:val="0072182E"/>
    <w:rsid w:val="00721AE8"/>
    <w:rsid w:val="007225C3"/>
    <w:rsid w:val="00722E44"/>
    <w:rsid w:val="00723323"/>
    <w:rsid w:val="00724362"/>
    <w:rsid w:val="00724EE3"/>
    <w:rsid w:val="00725B23"/>
    <w:rsid w:val="00725DA3"/>
    <w:rsid w:val="00725E9C"/>
    <w:rsid w:val="0072649C"/>
    <w:rsid w:val="0072650C"/>
    <w:rsid w:val="0072762C"/>
    <w:rsid w:val="0072777C"/>
    <w:rsid w:val="0072794C"/>
    <w:rsid w:val="00727959"/>
    <w:rsid w:val="00727BCF"/>
    <w:rsid w:val="00727F30"/>
    <w:rsid w:val="00727F7F"/>
    <w:rsid w:val="007319EA"/>
    <w:rsid w:val="00731F70"/>
    <w:rsid w:val="00731FE3"/>
    <w:rsid w:val="0073339C"/>
    <w:rsid w:val="00733CEA"/>
    <w:rsid w:val="00734209"/>
    <w:rsid w:val="007342C7"/>
    <w:rsid w:val="00735D67"/>
    <w:rsid w:val="00736F49"/>
    <w:rsid w:val="00737134"/>
    <w:rsid w:val="00737242"/>
    <w:rsid w:val="007373D0"/>
    <w:rsid w:val="007374BC"/>
    <w:rsid w:val="00737A75"/>
    <w:rsid w:val="00737E68"/>
    <w:rsid w:val="00741271"/>
    <w:rsid w:val="0074185F"/>
    <w:rsid w:val="0074216C"/>
    <w:rsid w:val="007423FE"/>
    <w:rsid w:val="00742DD2"/>
    <w:rsid w:val="0074332F"/>
    <w:rsid w:val="00743594"/>
    <w:rsid w:val="00744592"/>
    <w:rsid w:val="00744CC9"/>
    <w:rsid w:val="00744E53"/>
    <w:rsid w:val="00744E90"/>
    <w:rsid w:val="00744EB3"/>
    <w:rsid w:val="007466E2"/>
    <w:rsid w:val="007469B6"/>
    <w:rsid w:val="00747776"/>
    <w:rsid w:val="007509C2"/>
    <w:rsid w:val="0075220D"/>
    <w:rsid w:val="007522A6"/>
    <w:rsid w:val="00753D77"/>
    <w:rsid w:val="007550D5"/>
    <w:rsid w:val="00755966"/>
    <w:rsid w:val="007559C5"/>
    <w:rsid w:val="00755C96"/>
    <w:rsid w:val="007564E1"/>
    <w:rsid w:val="007569FB"/>
    <w:rsid w:val="00756D83"/>
    <w:rsid w:val="00757FE9"/>
    <w:rsid w:val="00760CD4"/>
    <w:rsid w:val="007611A9"/>
    <w:rsid w:val="0076143A"/>
    <w:rsid w:val="00762BB8"/>
    <w:rsid w:val="00762FE9"/>
    <w:rsid w:val="00764A54"/>
    <w:rsid w:val="00764D34"/>
    <w:rsid w:val="00764F02"/>
    <w:rsid w:val="00767A50"/>
    <w:rsid w:val="00767CDC"/>
    <w:rsid w:val="007704D8"/>
    <w:rsid w:val="007708D3"/>
    <w:rsid w:val="00770EB8"/>
    <w:rsid w:val="00771315"/>
    <w:rsid w:val="007715A4"/>
    <w:rsid w:val="0077184B"/>
    <w:rsid w:val="00771A8C"/>
    <w:rsid w:val="0077251F"/>
    <w:rsid w:val="0077344C"/>
    <w:rsid w:val="00773548"/>
    <w:rsid w:val="00773551"/>
    <w:rsid w:val="00773C93"/>
    <w:rsid w:val="00773E51"/>
    <w:rsid w:val="0077436F"/>
    <w:rsid w:val="007750B3"/>
    <w:rsid w:val="0077537E"/>
    <w:rsid w:val="007759DB"/>
    <w:rsid w:val="00775A57"/>
    <w:rsid w:val="00775C54"/>
    <w:rsid w:val="0077681C"/>
    <w:rsid w:val="00776ED8"/>
    <w:rsid w:val="00777034"/>
    <w:rsid w:val="00777D62"/>
    <w:rsid w:val="007806A3"/>
    <w:rsid w:val="00780D6F"/>
    <w:rsid w:val="007819A2"/>
    <w:rsid w:val="00781B8D"/>
    <w:rsid w:val="00781E7B"/>
    <w:rsid w:val="00781FDF"/>
    <w:rsid w:val="007821B5"/>
    <w:rsid w:val="00782320"/>
    <w:rsid w:val="00782915"/>
    <w:rsid w:val="00783A4B"/>
    <w:rsid w:val="00783E8C"/>
    <w:rsid w:val="00783FD0"/>
    <w:rsid w:val="00784138"/>
    <w:rsid w:val="007866CD"/>
    <w:rsid w:val="00787BC9"/>
    <w:rsid w:val="00787BD5"/>
    <w:rsid w:val="007901A7"/>
    <w:rsid w:val="007903CA"/>
    <w:rsid w:val="00790C60"/>
    <w:rsid w:val="00792B49"/>
    <w:rsid w:val="007936F9"/>
    <w:rsid w:val="00793FF5"/>
    <w:rsid w:val="00794163"/>
    <w:rsid w:val="007951A0"/>
    <w:rsid w:val="0079536B"/>
    <w:rsid w:val="00796433"/>
    <w:rsid w:val="007966AB"/>
    <w:rsid w:val="00796764"/>
    <w:rsid w:val="00796C15"/>
    <w:rsid w:val="00796DEC"/>
    <w:rsid w:val="007975C2"/>
    <w:rsid w:val="00797FC7"/>
    <w:rsid w:val="007A0005"/>
    <w:rsid w:val="007A0B15"/>
    <w:rsid w:val="007A1637"/>
    <w:rsid w:val="007A1A14"/>
    <w:rsid w:val="007A1F00"/>
    <w:rsid w:val="007A2161"/>
    <w:rsid w:val="007A252F"/>
    <w:rsid w:val="007A2851"/>
    <w:rsid w:val="007A2EC8"/>
    <w:rsid w:val="007A41FF"/>
    <w:rsid w:val="007A5260"/>
    <w:rsid w:val="007A53A3"/>
    <w:rsid w:val="007A5AF9"/>
    <w:rsid w:val="007A5E61"/>
    <w:rsid w:val="007A6AC3"/>
    <w:rsid w:val="007A7019"/>
    <w:rsid w:val="007A73C4"/>
    <w:rsid w:val="007A765A"/>
    <w:rsid w:val="007A791C"/>
    <w:rsid w:val="007A79D6"/>
    <w:rsid w:val="007A7EB9"/>
    <w:rsid w:val="007B1549"/>
    <w:rsid w:val="007B1C11"/>
    <w:rsid w:val="007B24C2"/>
    <w:rsid w:val="007B2F65"/>
    <w:rsid w:val="007B2FCD"/>
    <w:rsid w:val="007B5810"/>
    <w:rsid w:val="007B5977"/>
    <w:rsid w:val="007B68FD"/>
    <w:rsid w:val="007B6BA6"/>
    <w:rsid w:val="007B6F00"/>
    <w:rsid w:val="007B7929"/>
    <w:rsid w:val="007C0801"/>
    <w:rsid w:val="007C1CB6"/>
    <w:rsid w:val="007C21BC"/>
    <w:rsid w:val="007C2611"/>
    <w:rsid w:val="007C2660"/>
    <w:rsid w:val="007C27D1"/>
    <w:rsid w:val="007C2CA3"/>
    <w:rsid w:val="007C377C"/>
    <w:rsid w:val="007C3FDF"/>
    <w:rsid w:val="007C521A"/>
    <w:rsid w:val="007C52D7"/>
    <w:rsid w:val="007C607D"/>
    <w:rsid w:val="007D0437"/>
    <w:rsid w:val="007D12C1"/>
    <w:rsid w:val="007D13C2"/>
    <w:rsid w:val="007D1546"/>
    <w:rsid w:val="007D17E3"/>
    <w:rsid w:val="007D1AEA"/>
    <w:rsid w:val="007D200D"/>
    <w:rsid w:val="007D4F07"/>
    <w:rsid w:val="007D632A"/>
    <w:rsid w:val="007D6B45"/>
    <w:rsid w:val="007D7239"/>
    <w:rsid w:val="007D7B7C"/>
    <w:rsid w:val="007E1330"/>
    <w:rsid w:val="007E145E"/>
    <w:rsid w:val="007E1C32"/>
    <w:rsid w:val="007E2772"/>
    <w:rsid w:val="007E2F85"/>
    <w:rsid w:val="007E3B8E"/>
    <w:rsid w:val="007E3F9D"/>
    <w:rsid w:val="007E4A3E"/>
    <w:rsid w:val="007E4AC7"/>
    <w:rsid w:val="007E5473"/>
    <w:rsid w:val="007E567C"/>
    <w:rsid w:val="007E5D2E"/>
    <w:rsid w:val="007E5F4C"/>
    <w:rsid w:val="007E6015"/>
    <w:rsid w:val="007E6840"/>
    <w:rsid w:val="007E7C66"/>
    <w:rsid w:val="007F0D41"/>
    <w:rsid w:val="007F3828"/>
    <w:rsid w:val="007F4045"/>
    <w:rsid w:val="007F423F"/>
    <w:rsid w:val="007F4A82"/>
    <w:rsid w:val="007F4B5B"/>
    <w:rsid w:val="007F59CE"/>
    <w:rsid w:val="007F60E5"/>
    <w:rsid w:val="007F68AC"/>
    <w:rsid w:val="007F6D8B"/>
    <w:rsid w:val="007F6E18"/>
    <w:rsid w:val="007F6FB8"/>
    <w:rsid w:val="007F7A4A"/>
    <w:rsid w:val="00800796"/>
    <w:rsid w:val="008008E6"/>
    <w:rsid w:val="00801909"/>
    <w:rsid w:val="008020EF"/>
    <w:rsid w:val="0080235B"/>
    <w:rsid w:val="00802424"/>
    <w:rsid w:val="0080383C"/>
    <w:rsid w:val="00803AA8"/>
    <w:rsid w:val="00804677"/>
    <w:rsid w:val="008048BA"/>
    <w:rsid w:val="008061AC"/>
    <w:rsid w:val="00806F59"/>
    <w:rsid w:val="00807451"/>
    <w:rsid w:val="008079AE"/>
    <w:rsid w:val="00811229"/>
    <w:rsid w:val="00811F21"/>
    <w:rsid w:val="00812A3D"/>
    <w:rsid w:val="00812C34"/>
    <w:rsid w:val="00814655"/>
    <w:rsid w:val="00814D10"/>
    <w:rsid w:val="0081580C"/>
    <w:rsid w:val="00815B79"/>
    <w:rsid w:val="00815E46"/>
    <w:rsid w:val="00817103"/>
    <w:rsid w:val="0081746C"/>
    <w:rsid w:val="00817F4C"/>
    <w:rsid w:val="00821173"/>
    <w:rsid w:val="00821BA4"/>
    <w:rsid w:val="008237DF"/>
    <w:rsid w:val="00823D5A"/>
    <w:rsid w:val="0082427C"/>
    <w:rsid w:val="00824D9B"/>
    <w:rsid w:val="00824F12"/>
    <w:rsid w:val="008258BA"/>
    <w:rsid w:val="0082617B"/>
    <w:rsid w:val="00826333"/>
    <w:rsid w:val="008278B8"/>
    <w:rsid w:val="00830061"/>
    <w:rsid w:val="008306AD"/>
    <w:rsid w:val="0083092C"/>
    <w:rsid w:val="00830958"/>
    <w:rsid w:val="00830DC9"/>
    <w:rsid w:val="00831145"/>
    <w:rsid w:val="008314CD"/>
    <w:rsid w:val="00831EA7"/>
    <w:rsid w:val="00832A15"/>
    <w:rsid w:val="00832A87"/>
    <w:rsid w:val="00832BB1"/>
    <w:rsid w:val="00833328"/>
    <w:rsid w:val="008334F0"/>
    <w:rsid w:val="008334FA"/>
    <w:rsid w:val="0083356A"/>
    <w:rsid w:val="00833821"/>
    <w:rsid w:val="00833B35"/>
    <w:rsid w:val="00833FC3"/>
    <w:rsid w:val="0083400C"/>
    <w:rsid w:val="008370B2"/>
    <w:rsid w:val="008372D0"/>
    <w:rsid w:val="008414FC"/>
    <w:rsid w:val="00841755"/>
    <w:rsid w:val="00841DD6"/>
    <w:rsid w:val="00843BAD"/>
    <w:rsid w:val="00843E53"/>
    <w:rsid w:val="00843EBD"/>
    <w:rsid w:val="00843F12"/>
    <w:rsid w:val="00845692"/>
    <w:rsid w:val="008459EA"/>
    <w:rsid w:val="00845F55"/>
    <w:rsid w:val="0084636B"/>
    <w:rsid w:val="00846829"/>
    <w:rsid w:val="00851F9F"/>
    <w:rsid w:val="00851FB0"/>
    <w:rsid w:val="00852CDB"/>
    <w:rsid w:val="008541E7"/>
    <w:rsid w:val="00854901"/>
    <w:rsid w:val="00854B16"/>
    <w:rsid w:val="00854C1F"/>
    <w:rsid w:val="00854DBF"/>
    <w:rsid w:val="008553FA"/>
    <w:rsid w:val="008554F4"/>
    <w:rsid w:val="0085697D"/>
    <w:rsid w:val="00856C9F"/>
    <w:rsid w:val="00857ADC"/>
    <w:rsid w:val="00857D02"/>
    <w:rsid w:val="00860A5F"/>
    <w:rsid w:val="00860D32"/>
    <w:rsid w:val="00861805"/>
    <w:rsid w:val="00861A35"/>
    <w:rsid w:val="00861B9B"/>
    <w:rsid w:val="00862D15"/>
    <w:rsid w:val="008635AC"/>
    <w:rsid w:val="008637D9"/>
    <w:rsid w:val="00863A68"/>
    <w:rsid w:val="00863CB7"/>
    <w:rsid w:val="0086411C"/>
    <w:rsid w:val="008644DF"/>
    <w:rsid w:val="008647ED"/>
    <w:rsid w:val="00864CF3"/>
    <w:rsid w:val="00865417"/>
    <w:rsid w:val="008677C2"/>
    <w:rsid w:val="00867889"/>
    <w:rsid w:val="00867B34"/>
    <w:rsid w:val="00867C69"/>
    <w:rsid w:val="0087319E"/>
    <w:rsid w:val="00873516"/>
    <w:rsid w:val="00873D5A"/>
    <w:rsid w:val="00875092"/>
    <w:rsid w:val="0087622F"/>
    <w:rsid w:val="0087630D"/>
    <w:rsid w:val="00876EEE"/>
    <w:rsid w:val="00880B80"/>
    <w:rsid w:val="00880D08"/>
    <w:rsid w:val="00880D73"/>
    <w:rsid w:val="008811F4"/>
    <w:rsid w:val="008817E5"/>
    <w:rsid w:val="0088194D"/>
    <w:rsid w:val="00881FF2"/>
    <w:rsid w:val="00882863"/>
    <w:rsid w:val="00883329"/>
    <w:rsid w:val="00884362"/>
    <w:rsid w:val="00884CC1"/>
    <w:rsid w:val="008866E3"/>
    <w:rsid w:val="00886BE7"/>
    <w:rsid w:val="00886F21"/>
    <w:rsid w:val="00887EA4"/>
    <w:rsid w:val="008928C0"/>
    <w:rsid w:val="00893438"/>
    <w:rsid w:val="00894108"/>
    <w:rsid w:val="008946FE"/>
    <w:rsid w:val="008952C7"/>
    <w:rsid w:val="00895583"/>
    <w:rsid w:val="00895680"/>
    <w:rsid w:val="008959EF"/>
    <w:rsid w:val="00895C6F"/>
    <w:rsid w:val="008969F4"/>
    <w:rsid w:val="00896C56"/>
    <w:rsid w:val="00897404"/>
    <w:rsid w:val="00897677"/>
    <w:rsid w:val="00897A9C"/>
    <w:rsid w:val="008A0CB8"/>
    <w:rsid w:val="008A0E04"/>
    <w:rsid w:val="008A1FE1"/>
    <w:rsid w:val="008A295F"/>
    <w:rsid w:val="008A2B66"/>
    <w:rsid w:val="008A303F"/>
    <w:rsid w:val="008A3AFD"/>
    <w:rsid w:val="008A40CA"/>
    <w:rsid w:val="008A46F4"/>
    <w:rsid w:val="008A4AD8"/>
    <w:rsid w:val="008A4B91"/>
    <w:rsid w:val="008A5636"/>
    <w:rsid w:val="008A5F62"/>
    <w:rsid w:val="008A61C1"/>
    <w:rsid w:val="008A6E09"/>
    <w:rsid w:val="008A749E"/>
    <w:rsid w:val="008A74DE"/>
    <w:rsid w:val="008A773A"/>
    <w:rsid w:val="008A79FA"/>
    <w:rsid w:val="008B04C4"/>
    <w:rsid w:val="008B054A"/>
    <w:rsid w:val="008B05FD"/>
    <w:rsid w:val="008B1116"/>
    <w:rsid w:val="008B1294"/>
    <w:rsid w:val="008B1940"/>
    <w:rsid w:val="008B1B5F"/>
    <w:rsid w:val="008B24B5"/>
    <w:rsid w:val="008B2C97"/>
    <w:rsid w:val="008B2E45"/>
    <w:rsid w:val="008B3CA3"/>
    <w:rsid w:val="008B4EA1"/>
    <w:rsid w:val="008B4F62"/>
    <w:rsid w:val="008B5092"/>
    <w:rsid w:val="008B511F"/>
    <w:rsid w:val="008B52F3"/>
    <w:rsid w:val="008B5B6D"/>
    <w:rsid w:val="008B6B2C"/>
    <w:rsid w:val="008B7380"/>
    <w:rsid w:val="008B74FC"/>
    <w:rsid w:val="008B7523"/>
    <w:rsid w:val="008C09E9"/>
    <w:rsid w:val="008C0E72"/>
    <w:rsid w:val="008C182D"/>
    <w:rsid w:val="008C1A35"/>
    <w:rsid w:val="008C280A"/>
    <w:rsid w:val="008C2A79"/>
    <w:rsid w:val="008C3696"/>
    <w:rsid w:val="008C3842"/>
    <w:rsid w:val="008C3D09"/>
    <w:rsid w:val="008C40D1"/>
    <w:rsid w:val="008C4B6F"/>
    <w:rsid w:val="008C5FF0"/>
    <w:rsid w:val="008C7D10"/>
    <w:rsid w:val="008C7D1E"/>
    <w:rsid w:val="008C7DD6"/>
    <w:rsid w:val="008D01D3"/>
    <w:rsid w:val="008D0B3B"/>
    <w:rsid w:val="008D0E6D"/>
    <w:rsid w:val="008D128F"/>
    <w:rsid w:val="008D195B"/>
    <w:rsid w:val="008D1A36"/>
    <w:rsid w:val="008D1A72"/>
    <w:rsid w:val="008D1CF3"/>
    <w:rsid w:val="008D2F52"/>
    <w:rsid w:val="008D3914"/>
    <w:rsid w:val="008D6432"/>
    <w:rsid w:val="008D7AAC"/>
    <w:rsid w:val="008E04A9"/>
    <w:rsid w:val="008E0C87"/>
    <w:rsid w:val="008E2C06"/>
    <w:rsid w:val="008E2C22"/>
    <w:rsid w:val="008E2E7F"/>
    <w:rsid w:val="008E406C"/>
    <w:rsid w:val="008E439E"/>
    <w:rsid w:val="008E480D"/>
    <w:rsid w:val="008E54D7"/>
    <w:rsid w:val="008E7161"/>
    <w:rsid w:val="008E72D9"/>
    <w:rsid w:val="008E7501"/>
    <w:rsid w:val="008F05BC"/>
    <w:rsid w:val="008F0A99"/>
    <w:rsid w:val="008F2C08"/>
    <w:rsid w:val="008F2ED4"/>
    <w:rsid w:val="008F304D"/>
    <w:rsid w:val="008F3940"/>
    <w:rsid w:val="008F3DFB"/>
    <w:rsid w:val="008F52A6"/>
    <w:rsid w:val="008F5E06"/>
    <w:rsid w:val="008F66C9"/>
    <w:rsid w:val="008F6F2C"/>
    <w:rsid w:val="009013FD"/>
    <w:rsid w:val="0090268E"/>
    <w:rsid w:val="009028AE"/>
    <w:rsid w:val="00902963"/>
    <w:rsid w:val="00902ECC"/>
    <w:rsid w:val="0090426E"/>
    <w:rsid w:val="00904353"/>
    <w:rsid w:val="00904BA6"/>
    <w:rsid w:val="00904C56"/>
    <w:rsid w:val="00904ED6"/>
    <w:rsid w:val="00905A90"/>
    <w:rsid w:val="00905AB9"/>
    <w:rsid w:val="00905BBE"/>
    <w:rsid w:val="00906210"/>
    <w:rsid w:val="009069DC"/>
    <w:rsid w:val="00906A9A"/>
    <w:rsid w:val="00906ECE"/>
    <w:rsid w:val="00907487"/>
    <w:rsid w:val="009077E2"/>
    <w:rsid w:val="00911191"/>
    <w:rsid w:val="0091202E"/>
    <w:rsid w:val="00912646"/>
    <w:rsid w:val="009129C0"/>
    <w:rsid w:val="00912B25"/>
    <w:rsid w:val="00912E83"/>
    <w:rsid w:val="00912EFD"/>
    <w:rsid w:val="00912FAB"/>
    <w:rsid w:val="009136DD"/>
    <w:rsid w:val="009137AC"/>
    <w:rsid w:val="00913C5F"/>
    <w:rsid w:val="009149B7"/>
    <w:rsid w:val="00915087"/>
    <w:rsid w:val="00915364"/>
    <w:rsid w:val="0091557D"/>
    <w:rsid w:val="00915B82"/>
    <w:rsid w:val="009160A7"/>
    <w:rsid w:val="0091636E"/>
    <w:rsid w:val="00917214"/>
    <w:rsid w:val="00917C56"/>
    <w:rsid w:val="009219FC"/>
    <w:rsid w:val="00921BD1"/>
    <w:rsid w:val="0092205C"/>
    <w:rsid w:val="009224E3"/>
    <w:rsid w:val="0092260A"/>
    <w:rsid w:val="00922794"/>
    <w:rsid w:val="009233DE"/>
    <w:rsid w:val="00923437"/>
    <w:rsid w:val="0092497C"/>
    <w:rsid w:val="00925A07"/>
    <w:rsid w:val="0092603E"/>
    <w:rsid w:val="0092633F"/>
    <w:rsid w:val="009266EE"/>
    <w:rsid w:val="009267EE"/>
    <w:rsid w:val="00926A4E"/>
    <w:rsid w:val="00926D60"/>
    <w:rsid w:val="00930B68"/>
    <w:rsid w:val="009315C3"/>
    <w:rsid w:val="00931B2F"/>
    <w:rsid w:val="00931E4A"/>
    <w:rsid w:val="009329E9"/>
    <w:rsid w:val="00932D3C"/>
    <w:rsid w:val="009334CE"/>
    <w:rsid w:val="00933901"/>
    <w:rsid w:val="00933D70"/>
    <w:rsid w:val="00933DFA"/>
    <w:rsid w:val="0093468E"/>
    <w:rsid w:val="00934EE1"/>
    <w:rsid w:val="00934FCA"/>
    <w:rsid w:val="00936F4B"/>
    <w:rsid w:val="009376DE"/>
    <w:rsid w:val="00937C3A"/>
    <w:rsid w:val="0094056A"/>
    <w:rsid w:val="00940696"/>
    <w:rsid w:val="00942067"/>
    <w:rsid w:val="009432A0"/>
    <w:rsid w:val="009436E8"/>
    <w:rsid w:val="009440FC"/>
    <w:rsid w:val="00944CAD"/>
    <w:rsid w:val="00945906"/>
    <w:rsid w:val="00945A18"/>
    <w:rsid w:val="00945D0A"/>
    <w:rsid w:val="0094662E"/>
    <w:rsid w:val="009477F0"/>
    <w:rsid w:val="0095030A"/>
    <w:rsid w:val="00950B89"/>
    <w:rsid w:val="00950D1A"/>
    <w:rsid w:val="00952EE9"/>
    <w:rsid w:val="00953898"/>
    <w:rsid w:val="00953B7C"/>
    <w:rsid w:val="00953FB1"/>
    <w:rsid w:val="0095473E"/>
    <w:rsid w:val="00954848"/>
    <w:rsid w:val="009559DE"/>
    <w:rsid w:val="0095650A"/>
    <w:rsid w:val="0095652A"/>
    <w:rsid w:val="00957717"/>
    <w:rsid w:val="00957FF4"/>
    <w:rsid w:val="00961483"/>
    <w:rsid w:val="009614AE"/>
    <w:rsid w:val="009618C9"/>
    <w:rsid w:val="00962D6A"/>
    <w:rsid w:val="0096356B"/>
    <w:rsid w:val="00964C3B"/>
    <w:rsid w:val="00964E67"/>
    <w:rsid w:val="00964F7B"/>
    <w:rsid w:val="009660A3"/>
    <w:rsid w:val="00967815"/>
    <w:rsid w:val="00967A47"/>
    <w:rsid w:val="00971763"/>
    <w:rsid w:val="0097285F"/>
    <w:rsid w:val="009732EA"/>
    <w:rsid w:val="00973308"/>
    <w:rsid w:val="00973607"/>
    <w:rsid w:val="00973C21"/>
    <w:rsid w:val="00973F55"/>
    <w:rsid w:val="00974188"/>
    <w:rsid w:val="00974FCB"/>
    <w:rsid w:val="0097586B"/>
    <w:rsid w:val="00975A20"/>
    <w:rsid w:val="00975BCF"/>
    <w:rsid w:val="009764B6"/>
    <w:rsid w:val="009766BC"/>
    <w:rsid w:val="00977E5B"/>
    <w:rsid w:val="00980090"/>
    <w:rsid w:val="00980168"/>
    <w:rsid w:val="00982784"/>
    <w:rsid w:val="00983958"/>
    <w:rsid w:val="009840D0"/>
    <w:rsid w:val="00985670"/>
    <w:rsid w:val="009869D9"/>
    <w:rsid w:val="00986C22"/>
    <w:rsid w:val="009876C0"/>
    <w:rsid w:val="00987840"/>
    <w:rsid w:val="009900DC"/>
    <w:rsid w:val="0099093E"/>
    <w:rsid w:val="00991C05"/>
    <w:rsid w:val="00991CB2"/>
    <w:rsid w:val="00991CFF"/>
    <w:rsid w:val="009924D5"/>
    <w:rsid w:val="009926E7"/>
    <w:rsid w:val="009929FD"/>
    <w:rsid w:val="00993BF5"/>
    <w:rsid w:val="0099534D"/>
    <w:rsid w:val="00995899"/>
    <w:rsid w:val="00995A85"/>
    <w:rsid w:val="00995AB8"/>
    <w:rsid w:val="00997785"/>
    <w:rsid w:val="00997FC2"/>
    <w:rsid w:val="009A04C9"/>
    <w:rsid w:val="009A0A87"/>
    <w:rsid w:val="009A0E6D"/>
    <w:rsid w:val="009A1E36"/>
    <w:rsid w:val="009A2393"/>
    <w:rsid w:val="009A2453"/>
    <w:rsid w:val="009A3182"/>
    <w:rsid w:val="009A32F1"/>
    <w:rsid w:val="009A41F4"/>
    <w:rsid w:val="009A4FF9"/>
    <w:rsid w:val="009A5DAD"/>
    <w:rsid w:val="009A633E"/>
    <w:rsid w:val="009B0685"/>
    <w:rsid w:val="009B08AF"/>
    <w:rsid w:val="009B0AAF"/>
    <w:rsid w:val="009B0CE9"/>
    <w:rsid w:val="009B12AF"/>
    <w:rsid w:val="009B1F55"/>
    <w:rsid w:val="009B2125"/>
    <w:rsid w:val="009B309B"/>
    <w:rsid w:val="009B320E"/>
    <w:rsid w:val="009B3396"/>
    <w:rsid w:val="009B368D"/>
    <w:rsid w:val="009B3B4D"/>
    <w:rsid w:val="009B40FB"/>
    <w:rsid w:val="009B442F"/>
    <w:rsid w:val="009B5559"/>
    <w:rsid w:val="009B5ACF"/>
    <w:rsid w:val="009B6D3F"/>
    <w:rsid w:val="009B7580"/>
    <w:rsid w:val="009B7CE6"/>
    <w:rsid w:val="009C0056"/>
    <w:rsid w:val="009C0B82"/>
    <w:rsid w:val="009C160C"/>
    <w:rsid w:val="009C1937"/>
    <w:rsid w:val="009C308B"/>
    <w:rsid w:val="009C32C6"/>
    <w:rsid w:val="009C42CF"/>
    <w:rsid w:val="009C4D9F"/>
    <w:rsid w:val="009C4E33"/>
    <w:rsid w:val="009C56E4"/>
    <w:rsid w:val="009C5856"/>
    <w:rsid w:val="009C6823"/>
    <w:rsid w:val="009D0E32"/>
    <w:rsid w:val="009D0F82"/>
    <w:rsid w:val="009D1265"/>
    <w:rsid w:val="009D269B"/>
    <w:rsid w:val="009D3322"/>
    <w:rsid w:val="009D334C"/>
    <w:rsid w:val="009D42AC"/>
    <w:rsid w:val="009D4D1D"/>
    <w:rsid w:val="009D4E8D"/>
    <w:rsid w:val="009D4F6C"/>
    <w:rsid w:val="009D529F"/>
    <w:rsid w:val="009D6333"/>
    <w:rsid w:val="009D65E7"/>
    <w:rsid w:val="009D6E00"/>
    <w:rsid w:val="009D6F81"/>
    <w:rsid w:val="009E02B9"/>
    <w:rsid w:val="009E0817"/>
    <w:rsid w:val="009E0CCC"/>
    <w:rsid w:val="009E0CCF"/>
    <w:rsid w:val="009E1295"/>
    <w:rsid w:val="009E1908"/>
    <w:rsid w:val="009E1CC1"/>
    <w:rsid w:val="009E2AA6"/>
    <w:rsid w:val="009E3651"/>
    <w:rsid w:val="009E48EE"/>
    <w:rsid w:val="009E4C0D"/>
    <w:rsid w:val="009E4C6A"/>
    <w:rsid w:val="009E5704"/>
    <w:rsid w:val="009E5714"/>
    <w:rsid w:val="009E5724"/>
    <w:rsid w:val="009E5CB8"/>
    <w:rsid w:val="009E5D7B"/>
    <w:rsid w:val="009E613E"/>
    <w:rsid w:val="009E66F6"/>
    <w:rsid w:val="009E7748"/>
    <w:rsid w:val="009E78F8"/>
    <w:rsid w:val="009E7D5E"/>
    <w:rsid w:val="009F0674"/>
    <w:rsid w:val="009F0AD3"/>
    <w:rsid w:val="009F0FA9"/>
    <w:rsid w:val="009F18BA"/>
    <w:rsid w:val="009F1ABA"/>
    <w:rsid w:val="009F1CBB"/>
    <w:rsid w:val="009F21D2"/>
    <w:rsid w:val="009F22BA"/>
    <w:rsid w:val="009F2472"/>
    <w:rsid w:val="009F2498"/>
    <w:rsid w:val="009F2DD1"/>
    <w:rsid w:val="009F38D3"/>
    <w:rsid w:val="009F3A73"/>
    <w:rsid w:val="009F4082"/>
    <w:rsid w:val="009F4CE1"/>
    <w:rsid w:val="009F530B"/>
    <w:rsid w:val="009F5E92"/>
    <w:rsid w:val="009F5EB5"/>
    <w:rsid w:val="009F7D1E"/>
    <w:rsid w:val="00A00B55"/>
    <w:rsid w:val="00A01045"/>
    <w:rsid w:val="00A015B5"/>
    <w:rsid w:val="00A024F5"/>
    <w:rsid w:val="00A02862"/>
    <w:rsid w:val="00A02BDE"/>
    <w:rsid w:val="00A02F3D"/>
    <w:rsid w:val="00A03DC8"/>
    <w:rsid w:val="00A0522A"/>
    <w:rsid w:val="00A05BD0"/>
    <w:rsid w:val="00A063EF"/>
    <w:rsid w:val="00A06442"/>
    <w:rsid w:val="00A06784"/>
    <w:rsid w:val="00A0723E"/>
    <w:rsid w:val="00A079C2"/>
    <w:rsid w:val="00A1076C"/>
    <w:rsid w:val="00A108EA"/>
    <w:rsid w:val="00A10D60"/>
    <w:rsid w:val="00A1156D"/>
    <w:rsid w:val="00A11B82"/>
    <w:rsid w:val="00A11BB5"/>
    <w:rsid w:val="00A11D5F"/>
    <w:rsid w:val="00A11F36"/>
    <w:rsid w:val="00A136E5"/>
    <w:rsid w:val="00A140DB"/>
    <w:rsid w:val="00A14AB5"/>
    <w:rsid w:val="00A14CC9"/>
    <w:rsid w:val="00A15765"/>
    <w:rsid w:val="00A15974"/>
    <w:rsid w:val="00A15C15"/>
    <w:rsid w:val="00A165A8"/>
    <w:rsid w:val="00A175C5"/>
    <w:rsid w:val="00A1769F"/>
    <w:rsid w:val="00A1794F"/>
    <w:rsid w:val="00A17BA3"/>
    <w:rsid w:val="00A20030"/>
    <w:rsid w:val="00A20A50"/>
    <w:rsid w:val="00A21165"/>
    <w:rsid w:val="00A21471"/>
    <w:rsid w:val="00A21CF2"/>
    <w:rsid w:val="00A22900"/>
    <w:rsid w:val="00A22AB9"/>
    <w:rsid w:val="00A23000"/>
    <w:rsid w:val="00A234B8"/>
    <w:rsid w:val="00A2452D"/>
    <w:rsid w:val="00A24C24"/>
    <w:rsid w:val="00A24E18"/>
    <w:rsid w:val="00A2568D"/>
    <w:rsid w:val="00A25E90"/>
    <w:rsid w:val="00A25F53"/>
    <w:rsid w:val="00A2614E"/>
    <w:rsid w:val="00A27A1B"/>
    <w:rsid w:val="00A27B80"/>
    <w:rsid w:val="00A309B1"/>
    <w:rsid w:val="00A312C7"/>
    <w:rsid w:val="00A313D8"/>
    <w:rsid w:val="00A316E0"/>
    <w:rsid w:val="00A3170F"/>
    <w:rsid w:val="00A31E5C"/>
    <w:rsid w:val="00A324FA"/>
    <w:rsid w:val="00A325A4"/>
    <w:rsid w:val="00A32DE3"/>
    <w:rsid w:val="00A331F5"/>
    <w:rsid w:val="00A33CE2"/>
    <w:rsid w:val="00A35A1A"/>
    <w:rsid w:val="00A35DF9"/>
    <w:rsid w:val="00A3691C"/>
    <w:rsid w:val="00A36ACD"/>
    <w:rsid w:val="00A37A57"/>
    <w:rsid w:val="00A37CD9"/>
    <w:rsid w:val="00A37FC8"/>
    <w:rsid w:val="00A40CFF"/>
    <w:rsid w:val="00A4107E"/>
    <w:rsid w:val="00A4111F"/>
    <w:rsid w:val="00A41672"/>
    <w:rsid w:val="00A41A63"/>
    <w:rsid w:val="00A4295E"/>
    <w:rsid w:val="00A42994"/>
    <w:rsid w:val="00A42EB9"/>
    <w:rsid w:val="00A434F5"/>
    <w:rsid w:val="00A438A8"/>
    <w:rsid w:val="00A4393C"/>
    <w:rsid w:val="00A439B2"/>
    <w:rsid w:val="00A44DCE"/>
    <w:rsid w:val="00A450EF"/>
    <w:rsid w:val="00A45858"/>
    <w:rsid w:val="00A45C54"/>
    <w:rsid w:val="00A46C34"/>
    <w:rsid w:val="00A477DD"/>
    <w:rsid w:val="00A512BF"/>
    <w:rsid w:val="00A51EF4"/>
    <w:rsid w:val="00A5307C"/>
    <w:rsid w:val="00A53BAA"/>
    <w:rsid w:val="00A54B32"/>
    <w:rsid w:val="00A551BE"/>
    <w:rsid w:val="00A56083"/>
    <w:rsid w:val="00A56371"/>
    <w:rsid w:val="00A56C97"/>
    <w:rsid w:val="00A571B3"/>
    <w:rsid w:val="00A5746B"/>
    <w:rsid w:val="00A575B1"/>
    <w:rsid w:val="00A57C7C"/>
    <w:rsid w:val="00A60031"/>
    <w:rsid w:val="00A6038A"/>
    <w:rsid w:val="00A60D45"/>
    <w:rsid w:val="00A61394"/>
    <w:rsid w:val="00A61838"/>
    <w:rsid w:val="00A61D1B"/>
    <w:rsid w:val="00A622F6"/>
    <w:rsid w:val="00A62662"/>
    <w:rsid w:val="00A62948"/>
    <w:rsid w:val="00A63150"/>
    <w:rsid w:val="00A63612"/>
    <w:rsid w:val="00A63D6E"/>
    <w:rsid w:val="00A64A5C"/>
    <w:rsid w:val="00A64AE3"/>
    <w:rsid w:val="00A65178"/>
    <w:rsid w:val="00A659F7"/>
    <w:rsid w:val="00A662BB"/>
    <w:rsid w:val="00A662CB"/>
    <w:rsid w:val="00A67284"/>
    <w:rsid w:val="00A67846"/>
    <w:rsid w:val="00A67D52"/>
    <w:rsid w:val="00A67E20"/>
    <w:rsid w:val="00A70457"/>
    <w:rsid w:val="00A70D38"/>
    <w:rsid w:val="00A71219"/>
    <w:rsid w:val="00A718F3"/>
    <w:rsid w:val="00A72545"/>
    <w:rsid w:val="00A72952"/>
    <w:rsid w:val="00A72EC9"/>
    <w:rsid w:val="00A74239"/>
    <w:rsid w:val="00A752B5"/>
    <w:rsid w:val="00A752E2"/>
    <w:rsid w:val="00A754B6"/>
    <w:rsid w:val="00A75C5A"/>
    <w:rsid w:val="00A765E4"/>
    <w:rsid w:val="00A766B7"/>
    <w:rsid w:val="00A7758E"/>
    <w:rsid w:val="00A777D7"/>
    <w:rsid w:val="00A81296"/>
    <w:rsid w:val="00A822CC"/>
    <w:rsid w:val="00A82E56"/>
    <w:rsid w:val="00A8302C"/>
    <w:rsid w:val="00A83960"/>
    <w:rsid w:val="00A859A7"/>
    <w:rsid w:val="00A87849"/>
    <w:rsid w:val="00A91A33"/>
    <w:rsid w:val="00A91B4A"/>
    <w:rsid w:val="00A91DFB"/>
    <w:rsid w:val="00A9225D"/>
    <w:rsid w:val="00A9232D"/>
    <w:rsid w:val="00A93092"/>
    <w:rsid w:val="00A937BC"/>
    <w:rsid w:val="00A93D84"/>
    <w:rsid w:val="00A94951"/>
    <w:rsid w:val="00A94CBF"/>
    <w:rsid w:val="00A95921"/>
    <w:rsid w:val="00A96723"/>
    <w:rsid w:val="00A97738"/>
    <w:rsid w:val="00AA0B97"/>
    <w:rsid w:val="00AA1550"/>
    <w:rsid w:val="00AA209B"/>
    <w:rsid w:val="00AA2272"/>
    <w:rsid w:val="00AA2442"/>
    <w:rsid w:val="00AA2AAF"/>
    <w:rsid w:val="00AA3A33"/>
    <w:rsid w:val="00AA3AD3"/>
    <w:rsid w:val="00AA3BAC"/>
    <w:rsid w:val="00AA568F"/>
    <w:rsid w:val="00AA58F5"/>
    <w:rsid w:val="00AA5949"/>
    <w:rsid w:val="00AA675E"/>
    <w:rsid w:val="00AA7B44"/>
    <w:rsid w:val="00AA7C36"/>
    <w:rsid w:val="00AB1219"/>
    <w:rsid w:val="00AB262E"/>
    <w:rsid w:val="00AB2E9C"/>
    <w:rsid w:val="00AB54F8"/>
    <w:rsid w:val="00AB6019"/>
    <w:rsid w:val="00AC0058"/>
    <w:rsid w:val="00AC15F3"/>
    <w:rsid w:val="00AC172A"/>
    <w:rsid w:val="00AC1A6C"/>
    <w:rsid w:val="00AC1FF3"/>
    <w:rsid w:val="00AC2DCD"/>
    <w:rsid w:val="00AC3CBA"/>
    <w:rsid w:val="00AC4153"/>
    <w:rsid w:val="00AC43A7"/>
    <w:rsid w:val="00AC4491"/>
    <w:rsid w:val="00AC4599"/>
    <w:rsid w:val="00AC4609"/>
    <w:rsid w:val="00AC6CFF"/>
    <w:rsid w:val="00AC6D41"/>
    <w:rsid w:val="00AC6DD5"/>
    <w:rsid w:val="00AC6E2D"/>
    <w:rsid w:val="00AC7C4D"/>
    <w:rsid w:val="00AD0E75"/>
    <w:rsid w:val="00AD1783"/>
    <w:rsid w:val="00AD195C"/>
    <w:rsid w:val="00AD1C47"/>
    <w:rsid w:val="00AD1C58"/>
    <w:rsid w:val="00AD1CB7"/>
    <w:rsid w:val="00AD29E4"/>
    <w:rsid w:val="00AD2A87"/>
    <w:rsid w:val="00AD2DAD"/>
    <w:rsid w:val="00AD3F0E"/>
    <w:rsid w:val="00AD4269"/>
    <w:rsid w:val="00AD4A4D"/>
    <w:rsid w:val="00AD531D"/>
    <w:rsid w:val="00AD6B3E"/>
    <w:rsid w:val="00AD6C61"/>
    <w:rsid w:val="00AD7B61"/>
    <w:rsid w:val="00AE03BB"/>
    <w:rsid w:val="00AE0C39"/>
    <w:rsid w:val="00AE0FB0"/>
    <w:rsid w:val="00AE24EA"/>
    <w:rsid w:val="00AE2A44"/>
    <w:rsid w:val="00AE2C9D"/>
    <w:rsid w:val="00AE2CA0"/>
    <w:rsid w:val="00AE3232"/>
    <w:rsid w:val="00AE39DE"/>
    <w:rsid w:val="00AE3A88"/>
    <w:rsid w:val="00AE3A94"/>
    <w:rsid w:val="00AE3FF9"/>
    <w:rsid w:val="00AE4014"/>
    <w:rsid w:val="00AE4395"/>
    <w:rsid w:val="00AE5440"/>
    <w:rsid w:val="00AE5A65"/>
    <w:rsid w:val="00AE6B8F"/>
    <w:rsid w:val="00AE6DC5"/>
    <w:rsid w:val="00AE6E8A"/>
    <w:rsid w:val="00AE6F55"/>
    <w:rsid w:val="00AE732B"/>
    <w:rsid w:val="00AE7BC2"/>
    <w:rsid w:val="00AF0798"/>
    <w:rsid w:val="00AF0A3C"/>
    <w:rsid w:val="00AF10FE"/>
    <w:rsid w:val="00AF2158"/>
    <w:rsid w:val="00AF22EF"/>
    <w:rsid w:val="00AF29A7"/>
    <w:rsid w:val="00AF2C6A"/>
    <w:rsid w:val="00AF3459"/>
    <w:rsid w:val="00AF34B8"/>
    <w:rsid w:val="00AF49A6"/>
    <w:rsid w:val="00AF5012"/>
    <w:rsid w:val="00AF58BA"/>
    <w:rsid w:val="00AF59AC"/>
    <w:rsid w:val="00AF5A99"/>
    <w:rsid w:val="00AF5B93"/>
    <w:rsid w:val="00AF6644"/>
    <w:rsid w:val="00AF6A16"/>
    <w:rsid w:val="00B00D0C"/>
    <w:rsid w:val="00B00F20"/>
    <w:rsid w:val="00B02D2A"/>
    <w:rsid w:val="00B0301B"/>
    <w:rsid w:val="00B0318D"/>
    <w:rsid w:val="00B039B4"/>
    <w:rsid w:val="00B04614"/>
    <w:rsid w:val="00B04D03"/>
    <w:rsid w:val="00B04F55"/>
    <w:rsid w:val="00B06C25"/>
    <w:rsid w:val="00B06F86"/>
    <w:rsid w:val="00B07AC8"/>
    <w:rsid w:val="00B07B03"/>
    <w:rsid w:val="00B07D2A"/>
    <w:rsid w:val="00B07E76"/>
    <w:rsid w:val="00B1028F"/>
    <w:rsid w:val="00B122F6"/>
    <w:rsid w:val="00B12572"/>
    <w:rsid w:val="00B12C5A"/>
    <w:rsid w:val="00B1339E"/>
    <w:rsid w:val="00B13C0C"/>
    <w:rsid w:val="00B13F9D"/>
    <w:rsid w:val="00B14C0E"/>
    <w:rsid w:val="00B160B8"/>
    <w:rsid w:val="00B20884"/>
    <w:rsid w:val="00B20E5F"/>
    <w:rsid w:val="00B22A7E"/>
    <w:rsid w:val="00B234C8"/>
    <w:rsid w:val="00B23E15"/>
    <w:rsid w:val="00B25787"/>
    <w:rsid w:val="00B26CDA"/>
    <w:rsid w:val="00B27DAB"/>
    <w:rsid w:val="00B27F48"/>
    <w:rsid w:val="00B30414"/>
    <w:rsid w:val="00B307B9"/>
    <w:rsid w:val="00B30918"/>
    <w:rsid w:val="00B30EFE"/>
    <w:rsid w:val="00B33193"/>
    <w:rsid w:val="00B34F00"/>
    <w:rsid w:val="00B35421"/>
    <w:rsid w:val="00B360CE"/>
    <w:rsid w:val="00B374A6"/>
    <w:rsid w:val="00B37503"/>
    <w:rsid w:val="00B37C61"/>
    <w:rsid w:val="00B40082"/>
    <w:rsid w:val="00B4011D"/>
    <w:rsid w:val="00B40187"/>
    <w:rsid w:val="00B402B0"/>
    <w:rsid w:val="00B40954"/>
    <w:rsid w:val="00B40C77"/>
    <w:rsid w:val="00B410F3"/>
    <w:rsid w:val="00B42EB2"/>
    <w:rsid w:val="00B43913"/>
    <w:rsid w:val="00B4399A"/>
    <w:rsid w:val="00B4399D"/>
    <w:rsid w:val="00B450D0"/>
    <w:rsid w:val="00B45CE4"/>
    <w:rsid w:val="00B45E3A"/>
    <w:rsid w:val="00B462F0"/>
    <w:rsid w:val="00B46B64"/>
    <w:rsid w:val="00B47749"/>
    <w:rsid w:val="00B50BF1"/>
    <w:rsid w:val="00B510B2"/>
    <w:rsid w:val="00B51CB1"/>
    <w:rsid w:val="00B52D91"/>
    <w:rsid w:val="00B52DEF"/>
    <w:rsid w:val="00B53681"/>
    <w:rsid w:val="00B53F66"/>
    <w:rsid w:val="00B541A4"/>
    <w:rsid w:val="00B541A6"/>
    <w:rsid w:val="00B5424D"/>
    <w:rsid w:val="00B5466D"/>
    <w:rsid w:val="00B54EAD"/>
    <w:rsid w:val="00B562E6"/>
    <w:rsid w:val="00B6104F"/>
    <w:rsid w:val="00B62128"/>
    <w:rsid w:val="00B627DA"/>
    <w:rsid w:val="00B6381C"/>
    <w:rsid w:val="00B643AA"/>
    <w:rsid w:val="00B6546B"/>
    <w:rsid w:val="00B6565C"/>
    <w:rsid w:val="00B65783"/>
    <w:rsid w:val="00B65CA2"/>
    <w:rsid w:val="00B6632F"/>
    <w:rsid w:val="00B66A05"/>
    <w:rsid w:val="00B67191"/>
    <w:rsid w:val="00B67428"/>
    <w:rsid w:val="00B67832"/>
    <w:rsid w:val="00B67C8A"/>
    <w:rsid w:val="00B706F3"/>
    <w:rsid w:val="00B7359E"/>
    <w:rsid w:val="00B73719"/>
    <w:rsid w:val="00B7427C"/>
    <w:rsid w:val="00B7438D"/>
    <w:rsid w:val="00B7481E"/>
    <w:rsid w:val="00B7563D"/>
    <w:rsid w:val="00B76840"/>
    <w:rsid w:val="00B76DBC"/>
    <w:rsid w:val="00B778BE"/>
    <w:rsid w:val="00B77FFE"/>
    <w:rsid w:val="00B807BE"/>
    <w:rsid w:val="00B813C6"/>
    <w:rsid w:val="00B8162A"/>
    <w:rsid w:val="00B83B55"/>
    <w:rsid w:val="00B83EAD"/>
    <w:rsid w:val="00B84417"/>
    <w:rsid w:val="00B84911"/>
    <w:rsid w:val="00B850D9"/>
    <w:rsid w:val="00B85984"/>
    <w:rsid w:val="00B85CDD"/>
    <w:rsid w:val="00B85E34"/>
    <w:rsid w:val="00B86550"/>
    <w:rsid w:val="00B865EB"/>
    <w:rsid w:val="00B869A8"/>
    <w:rsid w:val="00B86B65"/>
    <w:rsid w:val="00B872A0"/>
    <w:rsid w:val="00B909D2"/>
    <w:rsid w:val="00B90B20"/>
    <w:rsid w:val="00B91812"/>
    <w:rsid w:val="00B9182A"/>
    <w:rsid w:val="00B92918"/>
    <w:rsid w:val="00B92ECD"/>
    <w:rsid w:val="00B93D19"/>
    <w:rsid w:val="00B950D3"/>
    <w:rsid w:val="00B95A84"/>
    <w:rsid w:val="00B95E61"/>
    <w:rsid w:val="00B969EC"/>
    <w:rsid w:val="00B96E42"/>
    <w:rsid w:val="00B97AA4"/>
    <w:rsid w:val="00B97DF4"/>
    <w:rsid w:val="00BA0A0B"/>
    <w:rsid w:val="00BA0E45"/>
    <w:rsid w:val="00BA0F0E"/>
    <w:rsid w:val="00BA1057"/>
    <w:rsid w:val="00BA1A3F"/>
    <w:rsid w:val="00BA2A50"/>
    <w:rsid w:val="00BA30D3"/>
    <w:rsid w:val="00BA4381"/>
    <w:rsid w:val="00BA63F4"/>
    <w:rsid w:val="00BA68F6"/>
    <w:rsid w:val="00BA705D"/>
    <w:rsid w:val="00BA7842"/>
    <w:rsid w:val="00BB12FC"/>
    <w:rsid w:val="00BB43B0"/>
    <w:rsid w:val="00BB4653"/>
    <w:rsid w:val="00BB5516"/>
    <w:rsid w:val="00BB71D7"/>
    <w:rsid w:val="00BC0096"/>
    <w:rsid w:val="00BC08D3"/>
    <w:rsid w:val="00BC0914"/>
    <w:rsid w:val="00BC1F69"/>
    <w:rsid w:val="00BC2D0C"/>
    <w:rsid w:val="00BC48A8"/>
    <w:rsid w:val="00BC54A1"/>
    <w:rsid w:val="00BC5AF9"/>
    <w:rsid w:val="00BC5E44"/>
    <w:rsid w:val="00BC6C10"/>
    <w:rsid w:val="00BC75A7"/>
    <w:rsid w:val="00BD075A"/>
    <w:rsid w:val="00BD0A21"/>
    <w:rsid w:val="00BD0A76"/>
    <w:rsid w:val="00BD0EDB"/>
    <w:rsid w:val="00BD1622"/>
    <w:rsid w:val="00BD2270"/>
    <w:rsid w:val="00BD26A7"/>
    <w:rsid w:val="00BD2B11"/>
    <w:rsid w:val="00BD2C1D"/>
    <w:rsid w:val="00BD34C0"/>
    <w:rsid w:val="00BD354F"/>
    <w:rsid w:val="00BD66D9"/>
    <w:rsid w:val="00BD6B54"/>
    <w:rsid w:val="00BE060B"/>
    <w:rsid w:val="00BE0C04"/>
    <w:rsid w:val="00BE0CBF"/>
    <w:rsid w:val="00BE1848"/>
    <w:rsid w:val="00BE19B0"/>
    <w:rsid w:val="00BE36E1"/>
    <w:rsid w:val="00BE44F3"/>
    <w:rsid w:val="00BE4573"/>
    <w:rsid w:val="00BE53A5"/>
    <w:rsid w:val="00BE5B27"/>
    <w:rsid w:val="00BE616D"/>
    <w:rsid w:val="00BE62F3"/>
    <w:rsid w:val="00BE650F"/>
    <w:rsid w:val="00BE6DBC"/>
    <w:rsid w:val="00BE702F"/>
    <w:rsid w:val="00BE79A6"/>
    <w:rsid w:val="00BF032A"/>
    <w:rsid w:val="00BF2541"/>
    <w:rsid w:val="00BF2DB0"/>
    <w:rsid w:val="00BF2FBF"/>
    <w:rsid w:val="00BF38AC"/>
    <w:rsid w:val="00BF46A4"/>
    <w:rsid w:val="00BF486D"/>
    <w:rsid w:val="00BF48C5"/>
    <w:rsid w:val="00BF4D53"/>
    <w:rsid w:val="00BF6453"/>
    <w:rsid w:val="00C00370"/>
    <w:rsid w:val="00C008B5"/>
    <w:rsid w:val="00C00DA3"/>
    <w:rsid w:val="00C03659"/>
    <w:rsid w:val="00C03759"/>
    <w:rsid w:val="00C037B8"/>
    <w:rsid w:val="00C03D0F"/>
    <w:rsid w:val="00C04052"/>
    <w:rsid w:val="00C04999"/>
    <w:rsid w:val="00C04C7C"/>
    <w:rsid w:val="00C04F87"/>
    <w:rsid w:val="00C05CC2"/>
    <w:rsid w:val="00C0629C"/>
    <w:rsid w:val="00C07A37"/>
    <w:rsid w:val="00C12CC5"/>
    <w:rsid w:val="00C13134"/>
    <w:rsid w:val="00C1542D"/>
    <w:rsid w:val="00C16743"/>
    <w:rsid w:val="00C16CA9"/>
    <w:rsid w:val="00C16F1C"/>
    <w:rsid w:val="00C171A3"/>
    <w:rsid w:val="00C171EE"/>
    <w:rsid w:val="00C203F4"/>
    <w:rsid w:val="00C208E1"/>
    <w:rsid w:val="00C210ED"/>
    <w:rsid w:val="00C211B9"/>
    <w:rsid w:val="00C21772"/>
    <w:rsid w:val="00C222EF"/>
    <w:rsid w:val="00C2269F"/>
    <w:rsid w:val="00C22D8C"/>
    <w:rsid w:val="00C23287"/>
    <w:rsid w:val="00C23B88"/>
    <w:rsid w:val="00C23BAB"/>
    <w:rsid w:val="00C23D61"/>
    <w:rsid w:val="00C24EF5"/>
    <w:rsid w:val="00C25772"/>
    <w:rsid w:val="00C26037"/>
    <w:rsid w:val="00C2657B"/>
    <w:rsid w:val="00C266A8"/>
    <w:rsid w:val="00C26A79"/>
    <w:rsid w:val="00C272D4"/>
    <w:rsid w:val="00C2737B"/>
    <w:rsid w:val="00C3000D"/>
    <w:rsid w:val="00C30239"/>
    <w:rsid w:val="00C30783"/>
    <w:rsid w:val="00C31436"/>
    <w:rsid w:val="00C31E81"/>
    <w:rsid w:val="00C3210E"/>
    <w:rsid w:val="00C32B63"/>
    <w:rsid w:val="00C32CDA"/>
    <w:rsid w:val="00C32D74"/>
    <w:rsid w:val="00C34562"/>
    <w:rsid w:val="00C34859"/>
    <w:rsid w:val="00C34A6D"/>
    <w:rsid w:val="00C359A9"/>
    <w:rsid w:val="00C35E9D"/>
    <w:rsid w:val="00C3637D"/>
    <w:rsid w:val="00C37FBD"/>
    <w:rsid w:val="00C4031C"/>
    <w:rsid w:val="00C409B4"/>
    <w:rsid w:val="00C410DE"/>
    <w:rsid w:val="00C41FF8"/>
    <w:rsid w:val="00C4215A"/>
    <w:rsid w:val="00C42238"/>
    <w:rsid w:val="00C4236C"/>
    <w:rsid w:val="00C43205"/>
    <w:rsid w:val="00C44204"/>
    <w:rsid w:val="00C4481F"/>
    <w:rsid w:val="00C45A7A"/>
    <w:rsid w:val="00C45D55"/>
    <w:rsid w:val="00C46AD4"/>
    <w:rsid w:val="00C46E0A"/>
    <w:rsid w:val="00C470D3"/>
    <w:rsid w:val="00C47909"/>
    <w:rsid w:val="00C50AB2"/>
    <w:rsid w:val="00C51BA8"/>
    <w:rsid w:val="00C52CA6"/>
    <w:rsid w:val="00C54DFF"/>
    <w:rsid w:val="00C57135"/>
    <w:rsid w:val="00C57958"/>
    <w:rsid w:val="00C57F80"/>
    <w:rsid w:val="00C60115"/>
    <w:rsid w:val="00C605C4"/>
    <w:rsid w:val="00C60F5F"/>
    <w:rsid w:val="00C6225C"/>
    <w:rsid w:val="00C63E9B"/>
    <w:rsid w:val="00C6428F"/>
    <w:rsid w:val="00C6544A"/>
    <w:rsid w:val="00C656B7"/>
    <w:rsid w:val="00C65BA6"/>
    <w:rsid w:val="00C662EF"/>
    <w:rsid w:val="00C664B1"/>
    <w:rsid w:val="00C66CF0"/>
    <w:rsid w:val="00C67288"/>
    <w:rsid w:val="00C673BD"/>
    <w:rsid w:val="00C67B70"/>
    <w:rsid w:val="00C67DAE"/>
    <w:rsid w:val="00C7042C"/>
    <w:rsid w:val="00C70835"/>
    <w:rsid w:val="00C70986"/>
    <w:rsid w:val="00C72CA3"/>
    <w:rsid w:val="00C734D0"/>
    <w:rsid w:val="00C74330"/>
    <w:rsid w:val="00C74A06"/>
    <w:rsid w:val="00C74DAD"/>
    <w:rsid w:val="00C74ECF"/>
    <w:rsid w:val="00C75AC6"/>
    <w:rsid w:val="00C7645D"/>
    <w:rsid w:val="00C76968"/>
    <w:rsid w:val="00C76DB7"/>
    <w:rsid w:val="00C7759F"/>
    <w:rsid w:val="00C77731"/>
    <w:rsid w:val="00C8061A"/>
    <w:rsid w:val="00C80A77"/>
    <w:rsid w:val="00C81824"/>
    <w:rsid w:val="00C8465B"/>
    <w:rsid w:val="00C847EF"/>
    <w:rsid w:val="00C84EDF"/>
    <w:rsid w:val="00C85CAD"/>
    <w:rsid w:val="00C85E67"/>
    <w:rsid w:val="00C86031"/>
    <w:rsid w:val="00C86245"/>
    <w:rsid w:val="00C87480"/>
    <w:rsid w:val="00C876CB"/>
    <w:rsid w:val="00C9121E"/>
    <w:rsid w:val="00C93220"/>
    <w:rsid w:val="00C93C48"/>
    <w:rsid w:val="00C9436B"/>
    <w:rsid w:val="00C947DC"/>
    <w:rsid w:val="00C95003"/>
    <w:rsid w:val="00C962CC"/>
    <w:rsid w:val="00C97B99"/>
    <w:rsid w:val="00C97CF9"/>
    <w:rsid w:val="00CA0B6E"/>
    <w:rsid w:val="00CA0E5C"/>
    <w:rsid w:val="00CA1B2A"/>
    <w:rsid w:val="00CA37EF"/>
    <w:rsid w:val="00CA4D47"/>
    <w:rsid w:val="00CA4F0A"/>
    <w:rsid w:val="00CA4F66"/>
    <w:rsid w:val="00CA5304"/>
    <w:rsid w:val="00CA5F42"/>
    <w:rsid w:val="00CA6494"/>
    <w:rsid w:val="00CA722D"/>
    <w:rsid w:val="00CA7BEA"/>
    <w:rsid w:val="00CA7EC6"/>
    <w:rsid w:val="00CB0105"/>
    <w:rsid w:val="00CB0316"/>
    <w:rsid w:val="00CB0922"/>
    <w:rsid w:val="00CB1626"/>
    <w:rsid w:val="00CB1694"/>
    <w:rsid w:val="00CB1958"/>
    <w:rsid w:val="00CB1CFC"/>
    <w:rsid w:val="00CB3AD0"/>
    <w:rsid w:val="00CB3DE9"/>
    <w:rsid w:val="00CB41E6"/>
    <w:rsid w:val="00CB439E"/>
    <w:rsid w:val="00CB43A7"/>
    <w:rsid w:val="00CB5230"/>
    <w:rsid w:val="00CB7010"/>
    <w:rsid w:val="00CB72A3"/>
    <w:rsid w:val="00CB7FB9"/>
    <w:rsid w:val="00CC1299"/>
    <w:rsid w:val="00CC1C6D"/>
    <w:rsid w:val="00CC30F7"/>
    <w:rsid w:val="00CC4C7F"/>
    <w:rsid w:val="00CC6D0F"/>
    <w:rsid w:val="00CC6FF1"/>
    <w:rsid w:val="00CC7748"/>
    <w:rsid w:val="00CC7A08"/>
    <w:rsid w:val="00CD0471"/>
    <w:rsid w:val="00CD04F2"/>
    <w:rsid w:val="00CD16A5"/>
    <w:rsid w:val="00CD1CFA"/>
    <w:rsid w:val="00CD30D1"/>
    <w:rsid w:val="00CD3E5F"/>
    <w:rsid w:val="00CD47FB"/>
    <w:rsid w:val="00CD48E0"/>
    <w:rsid w:val="00CD5102"/>
    <w:rsid w:val="00CD572D"/>
    <w:rsid w:val="00CD6049"/>
    <w:rsid w:val="00CD6482"/>
    <w:rsid w:val="00CD658D"/>
    <w:rsid w:val="00CD7487"/>
    <w:rsid w:val="00CE1FB0"/>
    <w:rsid w:val="00CE2CBA"/>
    <w:rsid w:val="00CE3686"/>
    <w:rsid w:val="00CE3EFA"/>
    <w:rsid w:val="00CE41DC"/>
    <w:rsid w:val="00CE60E7"/>
    <w:rsid w:val="00CE73C6"/>
    <w:rsid w:val="00CE73E3"/>
    <w:rsid w:val="00CE7F32"/>
    <w:rsid w:val="00CF0091"/>
    <w:rsid w:val="00CF01B8"/>
    <w:rsid w:val="00CF0824"/>
    <w:rsid w:val="00CF1924"/>
    <w:rsid w:val="00CF1C15"/>
    <w:rsid w:val="00CF2EC6"/>
    <w:rsid w:val="00CF327E"/>
    <w:rsid w:val="00CF3B85"/>
    <w:rsid w:val="00CF4B0E"/>
    <w:rsid w:val="00CF4B83"/>
    <w:rsid w:val="00CF594C"/>
    <w:rsid w:val="00CF5E79"/>
    <w:rsid w:val="00CF606F"/>
    <w:rsid w:val="00CF6498"/>
    <w:rsid w:val="00CF654D"/>
    <w:rsid w:val="00CF6F3E"/>
    <w:rsid w:val="00D00BEC"/>
    <w:rsid w:val="00D0120C"/>
    <w:rsid w:val="00D01AC3"/>
    <w:rsid w:val="00D01BF0"/>
    <w:rsid w:val="00D025A6"/>
    <w:rsid w:val="00D039FD"/>
    <w:rsid w:val="00D04B1C"/>
    <w:rsid w:val="00D05133"/>
    <w:rsid w:val="00D05CC2"/>
    <w:rsid w:val="00D05DE4"/>
    <w:rsid w:val="00D073FF"/>
    <w:rsid w:val="00D07ED4"/>
    <w:rsid w:val="00D104BE"/>
    <w:rsid w:val="00D117E3"/>
    <w:rsid w:val="00D11DF8"/>
    <w:rsid w:val="00D121A3"/>
    <w:rsid w:val="00D12FFA"/>
    <w:rsid w:val="00D1399A"/>
    <w:rsid w:val="00D14B69"/>
    <w:rsid w:val="00D14CC4"/>
    <w:rsid w:val="00D16088"/>
    <w:rsid w:val="00D16136"/>
    <w:rsid w:val="00D162FD"/>
    <w:rsid w:val="00D16A26"/>
    <w:rsid w:val="00D17A23"/>
    <w:rsid w:val="00D200C8"/>
    <w:rsid w:val="00D20618"/>
    <w:rsid w:val="00D2167D"/>
    <w:rsid w:val="00D22682"/>
    <w:rsid w:val="00D22A50"/>
    <w:rsid w:val="00D233DA"/>
    <w:rsid w:val="00D23523"/>
    <w:rsid w:val="00D23969"/>
    <w:rsid w:val="00D23CCF"/>
    <w:rsid w:val="00D24B65"/>
    <w:rsid w:val="00D252ED"/>
    <w:rsid w:val="00D26183"/>
    <w:rsid w:val="00D27C97"/>
    <w:rsid w:val="00D30EB5"/>
    <w:rsid w:val="00D31508"/>
    <w:rsid w:val="00D32B3C"/>
    <w:rsid w:val="00D342A7"/>
    <w:rsid w:val="00D360B4"/>
    <w:rsid w:val="00D37970"/>
    <w:rsid w:val="00D4057D"/>
    <w:rsid w:val="00D405C9"/>
    <w:rsid w:val="00D40737"/>
    <w:rsid w:val="00D425A9"/>
    <w:rsid w:val="00D42F28"/>
    <w:rsid w:val="00D4355D"/>
    <w:rsid w:val="00D4394A"/>
    <w:rsid w:val="00D43AF3"/>
    <w:rsid w:val="00D43E84"/>
    <w:rsid w:val="00D4410E"/>
    <w:rsid w:val="00D44188"/>
    <w:rsid w:val="00D442CE"/>
    <w:rsid w:val="00D444F2"/>
    <w:rsid w:val="00D46F55"/>
    <w:rsid w:val="00D5059C"/>
    <w:rsid w:val="00D51701"/>
    <w:rsid w:val="00D51AC0"/>
    <w:rsid w:val="00D51E70"/>
    <w:rsid w:val="00D523FC"/>
    <w:rsid w:val="00D536DC"/>
    <w:rsid w:val="00D54833"/>
    <w:rsid w:val="00D548FB"/>
    <w:rsid w:val="00D54D08"/>
    <w:rsid w:val="00D56B76"/>
    <w:rsid w:val="00D57547"/>
    <w:rsid w:val="00D5757A"/>
    <w:rsid w:val="00D57A15"/>
    <w:rsid w:val="00D600C5"/>
    <w:rsid w:val="00D60F6B"/>
    <w:rsid w:val="00D61D90"/>
    <w:rsid w:val="00D62B64"/>
    <w:rsid w:val="00D62C8E"/>
    <w:rsid w:val="00D63C07"/>
    <w:rsid w:val="00D63EED"/>
    <w:rsid w:val="00D6485A"/>
    <w:rsid w:val="00D64CEA"/>
    <w:rsid w:val="00D64DA8"/>
    <w:rsid w:val="00D654C7"/>
    <w:rsid w:val="00D657E8"/>
    <w:rsid w:val="00D65B64"/>
    <w:rsid w:val="00D66A8C"/>
    <w:rsid w:val="00D702CB"/>
    <w:rsid w:val="00D70E43"/>
    <w:rsid w:val="00D7181F"/>
    <w:rsid w:val="00D71AFE"/>
    <w:rsid w:val="00D71E82"/>
    <w:rsid w:val="00D725F5"/>
    <w:rsid w:val="00D728B5"/>
    <w:rsid w:val="00D72C0D"/>
    <w:rsid w:val="00D73020"/>
    <w:rsid w:val="00D73885"/>
    <w:rsid w:val="00D746AA"/>
    <w:rsid w:val="00D74CCB"/>
    <w:rsid w:val="00D75757"/>
    <w:rsid w:val="00D765C0"/>
    <w:rsid w:val="00D77263"/>
    <w:rsid w:val="00D80802"/>
    <w:rsid w:val="00D81026"/>
    <w:rsid w:val="00D8103A"/>
    <w:rsid w:val="00D81475"/>
    <w:rsid w:val="00D8298A"/>
    <w:rsid w:val="00D83A6E"/>
    <w:rsid w:val="00D843F9"/>
    <w:rsid w:val="00D851F4"/>
    <w:rsid w:val="00D85AAA"/>
    <w:rsid w:val="00D85FA9"/>
    <w:rsid w:val="00D866A4"/>
    <w:rsid w:val="00D902DC"/>
    <w:rsid w:val="00D906BF"/>
    <w:rsid w:val="00D9083B"/>
    <w:rsid w:val="00D90E2A"/>
    <w:rsid w:val="00D911A0"/>
    <w:rsid w:val="00D914DE"/>
    <w:rsid w:val="00D915BF"/>
    <w:rsid w:val="00D91754"/>
    <w:rsid w:val="00D91B68"/>
    <w:rsid w:val="00D92145"/>
    <w:rsid w:val="00D92954"/>
    <w:rsid w:val="00D931FC"/>
    <w:rsid w:val="00D94062"/>
    <w:rsid w:val="00D95C43"/>
    <w:rsid w:val="00D95EFA"/>
    <w:rsid w:val="00D96A47"/>
    <w:rsid w:val="00D96AED"/>
    <w:rsid w:val="00D97302"/>
    <w:rsid w:val="00D97A93"/>
    <w:rsid w:val="00D97FB7"/>
    <w:rsid w:val="00DA2454"/>
    <w:rsid w:val="00DA2D79"/>
    <w:rsid w:val="00DA2FA7"/>
    <w:rsid w:val="00DA32E5"/>
    <w:rsid w:val="00DA36A8"/>
    <w:rsid w:val="00DA4453"/>
    <w:rsid w:val="00DA5A43"/>
    <w:rsid w:val="00DA635A"/>
    <w:rsid w:val="00DA6F89"/>
    <w:rsid w:val="00DA7719"/>
    <w:rsid w:val="00DA7995"/>
    <w:rsid w:val="00DB0167"/>
    <w:rsid w:val="00DB1188"/>
    <w:rsid w:val="00DB11D6"/>
    <w:rsid w:val="00DB16A4"/>
    <w:rsid w:val="00DB1EB8"/>
    <w:rsid w:val="00DB3275"/>
    <w:rsid w:val="00DB3E04"/>
    <w:rsid w:val="00DB3EC8"/>
    <w:rsid w:val="00DB3FE4"/>
    <w:rsid w:val="00DB4051"/>
    <w:rsid w:val="00DB4343"/>
    <w:rsid w:val="00DB4872"/>
    <w:rsid w:val="00DB55AC"/>
    <w:rsid w:val="00DB57E1"/>
    <w:rsid w:val="00DB57EB"/>
    <w:rsid w:val="00DB68A2"/>
    <w:rsid w:val="00DB722E"/>
    <w:rsid w:val="00DB79AA"/>
    <w:rsid w:val="00DC02ED"/>
    <w:rsid w:val="00DC110A"/>
    <w:rsid w:val="00DC1953"/>
    <w:rsid w:val="00DC1F40"/>
    <w:rsid w:val="00DC233A"/>
    <w:rsid w:val="00DC296D"/>
    <w:rsid w:val="00DC2A87"/>
    <w:rsid w:val="00DC2E05"/>
    <w:rsid w:val="00DC359E"/>
    <w:rsid w:val="00DC48B5"/>
    <w:rsid w:val="00DC592B"/>
    <w:rsid w:val="00DC5BE6"/>
    <w:rsid w:val="00DC77E2"/>
    <w:rsid w:val="00DD19A8"/>
    <w:rsid w:val="00DD2C12"/>
    <w:rsid w:val="00DD2DD4"/>
    <w:rsid w:val="00DD2FCF"/>
    <w:rsid w:val="00DD3411"/>
    <w:rsid w:val="00DD3696"/>
    <w:rsid w:val="00DD3844"/>
    <w:rsid w:val="00DD3B08"/>
    <w:rsid w:val="00DD4307"/>
    <w:rsid w:val="00DD4439"/>
    <w:rsid w:val="00DD4552"/>
    <w:rsid w:val="00DD53BE"/>
    <w:rsid w:val="00DD6121"/>
    <w:rsid w:val="00DD6834"/>
    <w:rsid w:val="00DD6F9E"/>
    <w:rsid w:val="00DD7818"/>
    <w:rsid w:val="00DE0127"/>
    <w:rsid w:val="00DE0452"/>
    <w:rsid w:val="00DE0B62"/>
    <w:rsid w:val="00DE1311"/>
    <w:rsid w:val="00DE2373"/>
    <w:rsid w:val="00DE287A"/>
    <w:rsid w:val="00DE2E6E"/>
    <w:rsid w:val="00DE2F6E"/>
    <w:rsid w:val="00DE3A26"/>
    <w:rsid w:val="00DE40D7"/>
    <w:rsid w:val="00DE41B6"/>
    <w:rsid w:val="00DE4390"/>
    <w:rsid w:val="00DE491A"/>
    <w:rsid w:val="00DE5603"/>
    <w:rsid w:val="00DE5EE6"/>
    <w:rsid w:val="00DE6AF2"/>
    <w:rsid w:val="00DE6C08"/>
    <w:rsid w:val="00DE7805"/>
    <w:rsid w:val="00DE791F"/>
    <w:rsid w:val="00DF12EA"/>
    <w:rsid w:val="00DF2412"/>
    <w:rsid w:val="00DF2432"/>
    <w:rsid w:val="00DF24C0"/>
    <w:rsid w:val="00DF2999"/>
    <w:rsid w:val="00DF2E87"/>
    <w:rsid w:val="00DF2F86"/>
    <w:rsid w:val="00DF3287"/>
    <w:rsid w:val="00DF33E0"/>
    <w:rsid w:val="00DF35EC"/>
    <w:rsid w:val="00DF4457"/>
    <w:rsid w:val="00DF530D"/>
    <w:rsid w:val="00DF5460"/>
    <w:rsid w:val="00DF5972"/>
    <w:rsid w:val="00DF6B1F"/>
    <w:rsid w:val="00DF76C1"/>
    <w:rsid w:val="00DF7CF2"/>
    <w:rsid w:val="00E01CB6"/>
    <w:rsid w:val="00E01D02"/>
    <w:rsid w:val="00E02773"/>
    <w:rsid w:val="00E02E6D"/>
    <w:rsid w:val="00E03641"/>
    <w:rsid w:val="00E0370C"/>
    <w:rsid w:val="00E045F7"/>
    <w:rsid w:val="00E05693"/>
    <w:rsid w:val="00E067C1"/>
    <w:rsid w:val="00E069D1"/>
    <w:rsid w:val="00E071AA"/>
    <w:rsid w:val="00E07A92"/>
    <w:rsid w:val="00E07EA6"/>
    <w:rsid w:val="00E1010A"/>
    <w:rsid w:val="00E10285"/>
    <w:rsid w:val="00E11F68"/>
    <w:rsid w:val="00E1253D"/>
    <w:rsid w:val="00E1267A"/>
    <w:rsid w:val="00E12CAB"/>
    <w:rsid w:val="00E12F38"/>
    <w:rsid w:val="00E135AC"/>
    <w:rsid w:val="00E1397B"/>
    <w:rsid w:val="00E13FD7"/>
    <w:rsid w:val="00E140E1"/>
    <w:rsid w:val="00E1446D"/>
    <w:rsid w:val="00E149FF"/>
    <w:rsid w:val="00E15622"/>
    <w:rsid w:val="00E15DA0"/>
    <w:rsid w:val="00E17610"/>
    <w:rsid w:val="00E2041D"/>
    <w:rsid w:val="00E2165B"/>
    <w:rsid w:val="00E21677"/>
    <w:rsid w:val="00E218C0"/>
    <w:rsid w:val="00E21911"/>
    <w:rsid w:val="00E22A95"/>
    <w:rsid w:val="00E22ADC"/>
    <w:rsid w:val="00E232D1"/>
    <w:rsid w:val="00E2399D"/>
    <w:rsid w:val="00E2425A"/>
    <w:rsid w:val="00E24812"/>
    <w:rsid w:val="00E2766E"/>
    <w:rsid w:val="00E27A55"/>
    <w:rsid w:val="00E27F79"/>
    <w:rsid w:val="00E300F2"/>
    <w:rsid w:val="00E30F98"/>
    <w:rsid w:val="00E31DDE"/>
    <w:rsid w:val="00E32F9C"/>
    <w:rsid w:val="00E33178"/>
    <w:rsid w:val="00E334B2"/>
    <w:rsid w:val="00E34522"/>
    <w:rsid w:val="00E34A04"/>
    <w:rsid w:val="00E34BE9"/>
    <w:rsid w:val="00E3505A"/>
    <w:rsid w:val="00E352FB"/>
    <w:rsid w:val="00E370B3"/>
    <w:rsid w:val="00E370BC"/>
    <w:rsid w:val="00E37956"/>
    <w:rsid w:val="00E401F7"/>
    <w:rsid w:val="00E40AF6"/>
    <w:rsid w:val="00E40E63"/>
    <w:rsid w:val="00E41D43"/>
    <w:rsid w:val="00E43E38"/>
    <w:rsid w:val="00E44D6D"/>
    <w:rsid w:val="00E46074"/>
    <w:rsid w:val="00E46D4C"/>
    <w:rsid w:val="00E475B0"/>
    <w:rsid w:val="00E50706"/>
    <w:rsid w:val="00E513FD"/>
    <w:rsid w:val="00E5148F"/>
    <w:rsid w:val="00E518B3"/>
    <w:rsid w:val="00E5274B"/>
    <w:rsid w:val="00E53878"/>
    <w:rsid w:val="00E53F04"/>
    <w:rsid w:val="00E54E54"/>
    <w:rsid w:val="00E5557E"/>
    <w:rsid w:val="00E560B5"/>
    <w:rsid w:val="00E57FF1"/>
    <w:rsid w:val="00E60410"/>
    <w:rsid w:val="00E60767"/>
    <w:rsid w:val="00E60B1A"/>
    <w:rsid w:val="00E61291"/>
    <w:rsid w:val="00E6298C"/>
    <w:rsid w:val="00E6355F"/>
    <w:rsid w:val="00E64202"/>
    <w:rsid w:val="00E64768"/>
    <w:rsid w:val="00E66084"/>
    <w:rsid w:val="00E664A1"/>
    <w:rsid w:val="00E66B2D"/>
    <w:rsid w:val="00E67037"/>
    <w:rsid w:val="00E678C0"/>
    <w:rsid w:val="00E67EB4"/>
    <w:rsid w:val="00E70A56"/>
    <w:rsid w:val="00E71FDA"/>
    <w:rsid w:val="00E721BB"/>
    <w:rsid w:val="00E7432C"/>
    <w:rsid w:val="00E74736"/>
    <w:rsid w:val="00E7673B"/>
    <w:rsid w:val="00E76856"/>
    <w:rsid w:val="00E77081"/>
    <w:rsid w:val="00E77468"/>
    <w:rsid w:val="00E77855"/>
    <w:rsid w:val="00E803B7"/>
    <w:rsid w:val="00E813AD"/>
    <w:rsid w:val="00E836FB"/>
    <w:rsid w:val="00E8422F"/>
    <w:rsid w:val="00E842B0"/>
    <w:rsid w:val="00E847A0"/>
    <w:rsid w:val="00E84A73"/>
    <w:rsid w:val="00E8512F"/>
    <w:rsid w:val="00E853AA"/>
    <w:rsid w:val="00E872E8"/>
    <w:rsid w:val="00E873D4"/>
    <w:rsid w:val="00E9140A"/>
    <w:rsid w:val="00E91D67"/>
    <w:rsid w:val="00E92AE4"/>
    <w:rsid w:val="00E932AF"/>
    <w:rsid w:val="00E93459"/>
    <w:rsid w:val="00E93C2B"/>
    <w:rsid w:val="00E93FD2"/>
    <w:rsid w:val="00E94099"/>
    <w:rsid w:val="00E94A79"/>
    <w:rsid w:val="00E94C19"/>
    <w:rsid w:val="00E95EB4"/>
    <w:rsid w:val="00E95EF9"/>
    <w:rsid w:val="00E9616D"/>
    <w:rsid w:val="00E9681F"/>
    <w:rsid w:val="00EA11BB"/>
    <w:rsid w:val="00EA12DC"/>
    <w:rsid w:val="00EA13EF"/>
    <w:rsid w:val="00EA1E43"/>
    <w:rsid w:val="00EA2ABA"/>
    <w:rsid w:val="00EA341C"/>
    <w:rsid w:val="00EA38CB"/>
    <w:rsid w:val="00EA4C1B"/>
    <w:rsid w:val="00EA61D3"/>
    <w:rsid w:val="00EA63EF"/>
    <w:rsid w:val="00EA650C"/>
    <w:rsid w:val="00EA7323"/>
    <w:rsid w:val="00EB250A"/>
    <w:rsid w:val="00EB311E"/>
    <w:rsid w:val="00EB32E0"/>
    <w:rsid w:val="00EB5040"/>
    <w:rsid w:val="00EB5C69"/>
    <w:rsid w:val="00EB5EFA"/>
    <w:rsid w:val="00EB6935"/>
    <w:rsid w:val="00EB70C9"/>
    <w:rsid w:val="00EB7C21"/>
    <w:rsid w:val="00EB7FB5"/>
    <w:rsid w:val="00EC019C"/>
    <w:rsid w:val="00EC01F2"/>
    <w:rsid w:val="00EC2A65"/>
    <w:rsid w:val="00EC2D1B"/>
    <w:rsid w:val="00EC3775"/>
    <w:rsid w:val="00EC387C"/>
    <w:rsid w:val="00EC404E"/>
    <w:rsid w:val="00EC4948"/>
    <w:rsid w:val="00EC4FC3"/>
    <w:rsid w:val="00EC51B5"/>
    <w:rsid w:val="00EC51FD"/>
    <w:rsid w:val="00EC6055"/>
    <w:rsid w:val="00EC6E9E"/>
    <w:rsid w:val="00EC70DE"/>
    <w:rsid w:val="00ED022E"/>
    <w:rsid w:val="00ED17D0"/>
    <w:rsid w:val="00ED198F"/>
    <w:rsid w:val="00ED2156"/>
    <w:rsid w:val="00ED302C"/>
    <w:rsid w:val="00ED348C"/>
    <w:rsid w:val="00ED36AD"/>
    <w:rsid w:val="00ED401D"/>
    <w:rsid w:val="00ED49D6"/>
    <w:rsid w:val="00ED69F9"/>
    <w:rsid w:val="00ED6D22"/>
    <w:rsid w:val="00ED7BF1"/>
    <w:rsid w:val="00ED7FBF"/>
    <w:rsid w:val="00EE0F04"/>
    <w:rsid w:val="00EE13E6"/>
    <w:rsid w:val="00EE187A"/>
    <w:rsid w:val="00EE28D6"/>
    <w:rsid w:val="00EE5145"/>
    <w:rsid w:val="00EE5256"/>
    <w:rsid w:val="00EE5C91"/>
    <w:rsid w:val="00EE6047"/>
    <w:rsid w:val="00EE6159"/>
    <w:rsid w:val="00EE798B"/>
    <w:rsid w:val="00EE7A57"/>
    <w:rsid w:val="00EF0A5A"/>
    <w:rsid w:val="00EF0F3E"/>
    <w:rsid w:val="00EF1041"/>
    <w:rsid w:val="00EF1EF8"/>
    <w:rsid w:val="00EF2CF9"/>
    <w:rsid w:val="00EF2F33"/>
    <w:rsid w:val="00EF413F"/>
    <w:rsid w:val="00EF5D7F"/>
    <w:rsid w:val="00EF66D0"/>
    <w:rsid w:val="00F02949"/>
    <w:rsid w:val="00F02A5D"/>
    <w:rsid w:val="00F02F60"/>
    <w:rsid w:val="00F03472"/>
    <w:rsid w:val="00F038D8"/>
    <w:rsid w:val="00F03DC7"/>
    <w:rsid w:val="00F03F48"/>
    <w:rsid w:val="00F042F8"/>
    <w:rsid w:val="00F04DAB"/>
    <w:rsid w:val="00F055E7"/>
    <w:rsid w:val="00F05E9F"/>
    <w:rsid w:val="00F07F5F"/>
    <w:rsid w:val="00F10024"/>
    <w:rsid w:val="00F107CF"/>
    <w:rsid w:val="00F1125A"/>
    <w:rsid w:val="00F11344"/>
    <w:rsid w:val="00F12AB8"/>
    <w:rsid w:val="00F12B7C"/>
    <w:rsid w:val="00F142A4"/>
    <w:rsid w:val="00F145C4"/>
    <w:rsid w:val="00F151AD"/>
    <w:rsid w:val="00F16CFA"/>
    <w:rsid w:val="00F16D04"/>
    <w:rsid w:val="00F17696"/>
    <w:rsid w:val="00F17BA1"/>
    <w:rsid w:val="00F20382"/>
    <w:rsid w:val="00F20620"/>
    <w:rsid w:val="00F20CD4"/>
    <w:rsid w:val="00F20F3B"/>
    <w:rsid w:val="00F2129D"/>
    <w:rsid w:val="00F212F5"/>
    <w:rsid w:val="00F21470"/>
    <w:rsid w:val="00F214B0"/>
    <w:rsid w:val="00F2157D"/>
    <w:rsid w:val="00F23095"/>
    <w:rsid w:val="00F2343B"/>
    <w:rsid w:val="00F238C4"/>
    <w:rsid w:val="00F25257"/>
    <w:rsid w:val="00F261C3"/>
    <w:rsid w:val="00F2707B"/>
    <w:rsid w:val="00F2758A"/>
    <w:rsid w:val="00F27674"/>
    <w:rsid w:val="00F27701"/>
    <w:rsid w:val="00F27750"/>
    <w:rsid w:val="00F27881"/>
    <w:rsid w:val="00F27CEA"/>
    <w:rsid w:val="00F27E74"/>
    <w:rsid w:val="00F3097A"/>
    <w:rsid w:val="00F30BC4"/>
    <w:rsid w:val="00F31256"/>
    <w:rsid w:val="00F32178"/>
    <w:rsid w:val="00F331DD"/>
    <w:rsid w:val="00F33BB2"/>
    <w:rsid w:val="00F33E0C"/>
    <w:rsid w:val="00F34B00"/>
    <w:rsid w:val="00F34F7F"/>
    <w:rsid w:val="00F35072"/>
    <w:rsid w:val="00F35530"/>
    <w:rsid w:val="00F35669"/>
    <w:rsid w:val="00F374D0"/>
    <w:rsid w:val="00F40AB2"/>
    <w:rsid w:val="00F40ACC"/>
    <w:rsid w:val="00F40CEB"/>
    <w:rsid w:val="00F411B2"/>
    <w:rsid w:val="00F414AE"/>
    <w:rsid w:val="00F42064"/>
    <w:rsid w:val="00F4379E"/>
    <w:rsid w:val="00F43893"/>
    <w:rsid w:val="00F43C06"/>
    <w:rsid w:val="00F4479D"/>
    <w:rsid w:val="00F4495E"/>
    <w:rsid w:val="00F46716"/>
    <w:rsid w:val="00F46A1E"/>
    <w:rsid w:val="00F4756F"/>
    <w:rsid w:val="00F477B6"/>
    <w:rsid w:val="00F5072F"/>
    <w:rsid w:val="00F5158F"/>
    <w:rsid w:val="00F51775"/>
    <w:rsid w:val="00F51BF4"/>
    <w:rsid w:val="00F52B4A"/>
    <w:rsid w:val="00F534AB"/>
    <w:rsid w:val="00F541E4"/>
    <w:rsid w:val="00F549D7"/>
    <w:rsid w:val="00F54C34"/>
    <w:rsid w:val="00F551D4"/>
    <w:rsid w:val="00F5797A"/>
    <w:rsid w:val="00F57B80"/>
    <w:rsid w:val="00F600C3"/>
    <w:rsid w:val="00F60BF5"/>
    <w:rsid w:val="00F60FF8"/>
    <w:rsid w:val="00F61404"/>
    <w:rsid w:val="00F61416"/>
    <w:rsid w:val="00F62FEB"/>
    <w:rsid w:val="00F63205"/>
    <w:rsid w:val="00F63593"/>
    <w:rsid w:val="00F63673"/>
    <w:rsid w:val="00F64143"/>
    <w:rsid w:val="00F65845"/>
    <w:rsid w:val="00F65C2A"/>
    <w:rsid w:val="00F65EDB"/>
    <w:rsid w:val="00F66656"/>
    <w:rsid w:val="00F66D9F"/>
    <w:rsid w:val="00F66E50"/>
    <w:rsid w:val="00F6713E"/>
    <w:rsid w:val="00F671B6"/>
    <w:rsid w:val="00F70774"/>
    <w:rsid w:val="00F715F0"/>
    <w:rsid w:val="00F71BF2"/>
    <w:rsid w:val="00F71D18"/>
    <w:rsid w:val="00F727EB"/>
    <w:rsid w:val="00F72B7A"/>
    <w:rsid w:val="00F73A5A"/>
    <w:rsid w:val="00F74A0D"/>
    <w:rsid w:val="00F74A8B"/>
    <w:rsid w:val="00F74FAE"/>
    <w:rsid w:val="00F75EA2"/>
    <w:rsid w:val="00F77184"/>
    <w:rsid w:val="00F776F4"/>
    <w:rsid w:val="00F77B74"/>
    <w:rsid w:val="00F801EE"/>
    <w:rsid w:val="00F80535"/>
    <w:rsid w:val="00F8075D"/>
    <w:rsid w:val="00F80908"/>
    <w:rsid w:val="00F81EF8"/>
    <w:rsid w:val="00F84BC3"/>
    <w:rsid w:val="00F84D5A"/>
    <w:rsid w:val="00F8532B"/>
    <w:rsid w:val="00F86723"/>
    <w:rsid w:val="00F86A53"/>
    <w:rsid w:val="00F87370"/>
    <w:rsid w:val="00F8745B"/>
    <w:rsid w:val="00F876CA"/>
    <w:rsid w:val="00F9117E"/>
    <w:rsid w:val="00F91638"/>
    <w:rsid w:val="00F92BC3"/>
    <w:rsid w:val="00F93FEA"/>
    <w:rsid w:val="00F944BD"/>
    <w:rsid w:val="00F945A6"/>
    <w:rsid w:val="00F94738"/>
    <w:rsid w:val="00F9536C"/>
    <w:rsid w:val="00F9589D"/>
    <w:rsid w:val="00F97EBC"/>
    <w:rsid w:val="00FA0488"/>
    <w:rsid w:val="00FA1D4F"/>
    <w:rsid w:val="00FA252E"/>
    <w:rsid w:val="00FA31FA"/>
    <w:rsid w:val="00FA36C6"/>
    <w:rsid w:val="00FA3BFD"/>
    <w:rsid w:val="00FA4A5B"/>
    <w:rsid w:val="00FA4D8E"/>
    <w:rsid w:val="00FA53B1"/>
    <w:rsid w:val="00FA54E9"/>
    <w:rsid w:val="00FA5F1E"/>
    <w:rsid w:val="00FA6726"/>
    <w:rsid w:val="00FA6CFC"/>
    <w:rsid w:val="00FA7696"/>
    <w:rsid w:val="00FB0B9C"/>
    <w:rsid w:val="00FB1D91"/>
    <w:rsid w:val="00FB2124"/>
    <w:rsid w:val="00FB2162"/>
    <w:rsid w:val="00FB278F"/>
    <w:rsid w:val="00FB27DB"/>
    <w:rsid w:val="00FB4497"/>
    <w:rsid w:val="00FB4AB3"/>
    <w:rsid w:val="00FB50E7"/>
    <w:rsid w:val="00FB552C"/>
    <w:rsid w:val="00FB639C"/>
    <w:rsid w:val="00FB7DE0"/>
    <w:rsid w:val="00FC223A"/>
    <w:rsid w:val="00FC3E4C"/>
    <w:rsid w:val="00FC59B4"/>
    <w:rsid w:val="00FC682C"/>
    <w:rsid w:val="00FC7235"/>
    <w:rsid w:val="00FC763E"/>
    <w:rsid w:val="00FC7982"/>
    <w:rsid w:val="00FC7AA0"/>
    <w:rsid w:val="00FC7D2A"/>
    <w:rsid w:val="00FD00C2"/>
    <w:rsid w:val="00FD0AA7"/>
    <w:rsid w:val="00FD1E48"/>
    <w:rsid w:val="00FD36E6"/>
    <w:rsid w:val="00FD3A39"/>
    <w:rsid w:val="00FD3B55"/>
    <w:rsid w:val="00FD437B"/>
    <w:rsid w:val="00FD43A0"/>
    <w:rsid w:val="00FD70BC"/>
    <w:rsid w:val="00FE05B4"/>
    <w:rsid w:val="00FE0C3D"/>
    <w:rsid w:val="00FE0E64"/>
    <w:rsid w:val="00FE1350"/>
    <w:rsid w:val="00FE1468"/>
    <w:rsid w:val="00FE14A9"/>
    <w:rsid w:val="00FE1A53"/>
    <w:rsid w:val="00FE1C57"/>
    <w:rsid w:val="00FE2B1B"/>
    <w:rsid w:val="00FE32D0"/>
    <w:rsid w:val="00FE3AC3"/>
    <w:rsid w:val="00FE3C60"/>
    <w:rsid w:val="00FE3E33"/>
    <w:rsid w:val="00FE40BD"/>
    <w:rsid w:val="00FE44BC"/>
    <w:rsid w:val="00FE4743"/>
    <w:rsid w:val="00FE5906"/>
    <w:rsid w:val="00FE7234"/>
    <w:rsid w:val="00FE7A21"/>
    <w:rsid w:val="00FE7D35"/>
    <w:rsid w:val="00FF0FEF"/>
    <w:rsid w:val="00FF1CA6"/>
    <w:rsid w:val="00FF1EF9"/>
    <w:rsid w:val="00FF34DD"/>
    <w:rsid w:val="00FF49BB"/>
    <w:rsid w:val="00FF5216"/>
    <w:rsid w:val="00FF554A"/>
    <w:rsid w:val="00FF56B7"/>
    <w:rsid w:val="00FF678F"/>
    <w:rsid w:val="00FF711C"/>
    <w:rsid w:val="00FF71D4"/>
    <w:rsid w:val="00FF7A8D"/>
    <w:rsid w:val="00FF7A90"/>
    <w:rsid w:val="01131C98"/>
    <w:rsid w:val="01264315"/>
    <w:rsid w:val="01794244"/>
    <w:rsid w:val="0A6F35F3"/>
    <w:rsid w:val="0B155C3C"/>
    <w:rsid w:val="0B8C5119"/>
    <w:rsid w:val="0BB84ABA"/>
    <w:rsid w:val="0DF70393"/>
    <w:rsid w:val="0F6A0743"/>
    <w:rsid w:val="162136C4"/>
    <w:rsid w:val="16E14229"/>
    <w:rsid w:val="174F4E31"/>
    <w:rsid w:val="17506B56"/>
    <w:rsid w:val="180946B3"/>
    <w:rsid w:val="1F223D94"/>
    <w:rsid w:val="21F437A4"/>
    <w:rsid w:val="22C11A6E"/>
    <w:rsid w:val="2309246C"/>
    <w:rsid w:val="23C252EC"/>
    <w:rsid w:val="24E36F3D"/>
    <w:rsid w:val="25A355CA"/>
    <w:rsid w:val="27B460D7"/>
    <w:rsid w:val="27C709A4"/>
    <w:rsid w:val="2AB27B11"/>
    <w:rsid w:val="2EFA5A48"/>
    <w:rsid w:val="315B1929"/>
    <w:rsid w:val="31D14FA9"/>
    <w:rsid w:val="3460786C"/>
    <w:rsid w:val="348A3E65"/>
    <w:rsid w:val="354D36F7"/>
    <w:rsid w:val="35AF6E82"/>
    <w:rsid w:val="39693207"/>
    <w:rsid w:val="39DB5256"/>
    <w:rsid w:val="3AFF644A"/>
    <w:rsid w:val="3F46566B"/>
    <w:rsid w:val="40116529"/>
    <w:rsid w:val="423F1EFB"/>
    <w:rsid w:val="462B740C"/>
    <w:rsid w:val="46371C02"/>
    <w:rsid w:val="475901AE"/>
    <w:rsid w:val="479B2660"/>
    <w:rsid w:val="49F40157"/>
    <w:rsid w:val="4E99462B"/>
    <w:rsid w:val="4EFD70CB"/>
    <w:rsid w:val="51151045"/>
    <w:rsid w:val="51654A47"/>
    <w:rsid w:val="529E62D2"/>
    <w:rsid w:val="53E06ED4"/>
    <w:rsid w:val="542C6740"/>
    <w:rsid w:val="5736628C"/>
    <w:rsid w:val="58BA0723"/>
    <w:rsid w:val="5E1820E4"/>
    <w:rsid w:val="61106C71"/>
    <w:rsid w:val="64C45F8B"/>
    <w:rsid w:val="65302AAB"/>
    <w:rsid w:val="659700C0"/>
    <w:rsid w:val="67291557"/>
    <w:rsid w:val="69CB5DD7"/>
    <w:rsid w:val="6B3A0C11"/>
    <w:rsid w:val="6D7E49D8"/>
    <w:rsid w:val="6DB17A0F"/>
    <w:rsid w:val="6EB41F14"/>
    <w:rsid w:val="6F395D22"/>
    <w:rsid w:val="71992593"/>
    <w:rsid w:val="71BD75A6"/>
    <w:rsid w:val="73247C40"/>
    <w:rsid w:val="75334D01"/>
    <w:rsid w:val="76E64C13"/>
    <w:rsid w:val="7AA23D4A"/>
    <w:rsid w:val="7D725CBB"/>
    <w:rsid w:val="7FFD5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annotation text" w:semiHidden="0" w:uiPriority="0" w:qFormat="1"/>
    <w:lsdException w:name="header" w:semiHidden="0" w:uiPriority="0" w:unhideWhenUsed="0" w:qFormat="1"/>
    <w:lsdException w:name="footer" w:semiHidden="0" w:uiPriority="0" w:unhideWhenUsed="0" w:qFormat="1"/>
    <w:lsdException w:name="caption" w:semiHidden="0" w:uiPriority="0" w:unhideWhenUsed="0" w:qFormat="1"/>
    <w:lsdException w:name="footnote reference" w:uiPriority="0" w:unhideWhenUsed="0" w:qFormat="1"/>
    <w:lsdException w:name="annotation reference" w:semiHidden="0" w:uiPriority="0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(Web)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2BA"/>
    <w:pPr>
      <w:spacing w:before="120" w:after="120"/>
      <w:jc w:val="both"/>
    </w:pPr>
    <w:rPr>
      <w:szCs w:val="22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662BA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2BA"/>
    <w:pPr>
      <w:keepNext/>
      <w:keepLines/>
      <w:numPr>
        <w:ilvl w:val="1"/>
        <w:numId w:val="1"/>
      </w:numPr>
      <w:spacing w:line="415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1662BA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1662BA"/>
    <w:rPr>
      <w:b/>
      <w:bCs/>
    </w:rPr>
  </w:style>
  <w:style w:type="paragraph" w:styleId="CommentText">
    <w:name w:val="annotation text"/>
    <w:basedOn w:val="Normal"/>
    <w:link w:val="CommentTextChar"/>
    <w:unhideWhenUsed/>
    <w:qFormat/>
    <w:rsid w:val="001662BA"/>
    <w:rPr>
      <w:szCs w:val="20"/>
    </w:rPr>
  </w:style>
  <w:style w:type="paragraph" w:styleId="NormalIndent">
    <w:name w:val="Normal Indent"/>
    <w:basedOn w:val="Normal"/>
    <w:qFormat/>
    <w:rsid w:val="001662BA"/>
    <w:pPr>
      <w:widowControl w:val="0"/>
      <w:spacing w:after="0" w:line="240" w:lineRule="auto"/>
      <w:ind w:firstLine="420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rsid w:val="001662BA"/>
    <w:pPr>
      <w:tabs>
        <w:tab w:val="left" w:pos="1418"/>
      </w:tabs>
      <w:spacing w:line="240" w:lineRule="auto"/>
    </w:pPr>
    <w:rPr>
      <w:b/>
      <w:bCs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sid w:val="001662BA"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rsid w:val="001662BA"/>
    <w:pPr>
      <w:widowControl w:val="0"/>
      <w:spacing w:after="0" w:line="240" w:lineRule="auto"/>
    </w:pPr>
    <w:rPr>
      <w:color w:val="0000FF"/>
      <w:kern w:val="2"/>
      <w:sz w:val="21"/>
      <w:szCs w:val="20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1662BA"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rsid w:val="001662B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1662BA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paragraph" w:styleId="NormalWeb">
    <w:name w:val="Normal (Web)"/>
    <w:basedOn w:val="Normal"/>
    <w:uiPriority w:val="99"/>
    <w:unhideWhenUsed/>
    <w:qFormat/>
    <w:rsid w:val="001662BA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character" w:styleId="Hyperlink">
    <w:name w:val="Hyperlink"/>
    <w:basedOn w:val="DefaultParagraphFont"/>
    <w:uiPriority w:val="99"/>
    <w:unhideWhenUsed/>
    <w:qFormat/>
    <w:rsid w:val="001662BA"/>
    <w:rPr>
      <w:color w:val="0000FF"/>
      <w:u w:val="single"/>
    </w:rPr>
  </w:style>
  <w:style w:type="character" w:styleId="CommentReference">
    <w:name w:val="annotation reference"/>
    <w:unhideWhenUsed/>
    <w:qFormat/>
    <w:rsid w:val="001662BA"/>
    <w:rPr>
      <w:sz w:val="16"/>
      <w:szCs w:val="16"/>
    </w:rPr>
  </w:style>
  <w:style w:type="character" w:styleId="FootnoteReference">
    <w:name w:val="footnote reference"/>
    <w:semiHidden/>
    <w:qFormat/>
    <w:rsid w:val="001662BA"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rsid w:val="001662B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qFormat/>
    <w:rsid w:val="001662BA"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HeaderChar">
    <w:name w:val="Header Char"/>
    <w:link w:val="Header"/>
    <w:qFormat/>
    <w:rsid w:val="001662BA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rsid w:val="001662BA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ommentTextChar">
    <w:name w:val="Comment Text Char"/>
    <w:basedOn w:val="DefaultParagraphFont"/>
    <w:link w:val="CommentText"/>
    <w:qFormat/>
    <w:rsid w:val="001662BA"/>
  </w:style>
  <w:style w:type="character" w:customStyle="1" w:styleId="CommentSubjectChar">
    <w:name w:val="Comment Subject Char"/>
    <w:link w:val="CommentSubject"/>
    <w:uiPriority w:val="99"/>
    <w:semiHidden/>
    <w:qFormat/>
    <w:rsid w:val="001662BA"/>
    <w:rPr>
      <w:b/>
      <w:bCs/>
    </w:rPr>
  </w:style>
  <w:style w:type="character" w:customStyle="1" w:styleId="BalloonTextChar">
    <w:name w:val="Balloon Text Char"/>
    <w:link w:val="BalloonText"/>
    <w:uiPriority w:val="99"/>
    <w:semiHidden/>
    <w:qFormat/>
    <w:rsid w:val="001662B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qFormat/>
    <w:rsid w:val="001662BA"/>
    <w:rPr>
      <w:rFonts w:ascii="宋体"/>
      <w:sz w:val="18"/>
      <w:szCs w:val="18"/>
    </w:rPr>
  </w:style>
  <w:style w:type="character" w:customStyle="1" w:styleId="BodyTextChar">
    <w:name w:val="Body Text Char"/>
    <w:link w:val="BodyText"/>
    <w:qFormat/>
    <w:rsid w:val="001662BA"/>
    <w:rPr>
      <w:rFonts w:ascii="Times New Roman" w:hAnsi="Times New Roman"/>
      <w:color w:val="0000FF"/>
      <w:kern w:val="2"/>
      <w:sz w:val="21"/>
    </w:rPr>
  </w:style>
  <w:style w:type="character" w:customStyle="1" w:styleId="CaptionChar">
    <w:name w:val="Caption Char"/>
    <w:link w:val="Caption"/>
    <w:qFormat/>
    <w:rsid w:val="001662BA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qFormat/>
    <w:rsid w:val="001662BA"/>
    <w:pPr>
      <w:widowControl w:val="0"/>
      <w:spacing w:after="0" w:line="240" w:lineRule="auto"/>
    </w:pPr>
    <w:rPr>
      <w:rFonts w:ascii="Arial" w:hAnsi="Arial" w:cs="宋体"/>
      <w:kern w:val="2"/>
      <w:sz w:val="21"/>
      <w:szCs w:val="20"/>
    </w:rPr>
  </w:style>
  <w:style w:type="paragraph" w:customStyle="1" w:styleId="TAH">
    <w:name w:val="TAH"/>
    <w:basedOn w:val="TAC"/>
    <w:qFormat/>
    <w:rsid w:val="001662BA"/>
    <w:rPr>
      <w:b/>
    </w:rPr>
  </w:style>
  <w:style w:type="paragraph" w:customStyle="1" w:styleId="TAC">
    <w:name w:val="TAC"/>
    <w:basedOn w:val="Normal"/>
    <w:link w:val="TACChar"/>
    <w:qFormat/>
    <w:rsid w:val="001662BA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1662BA"/>
    <w:rPr>
      <w:rFonts w:ascii="Arial" w:eastAsia="Times New Roman" w:hAnsi="Arial"/>
      <w:sz w:val="18"/>
      <w:lang w:val="en-GB" w:eastAsia="en-GB"/>
    </w:rPr>
  </w:style>
  <w:style w:type="paragraph" w:customStyle="1" w:styleId="1">
    <w:name w:val="无间隔1"/>
    <w:uiPriority w:val="1"/>
    <w:qFormat/>
    <w:rsid w:val="001662BA"/>
    <w:rPr>
      <w:rFonts w:ascii="Calibri" w:hAnsi="Calibri"/>
      <w:sz w:val="22"/>
      <w:szCs w:val="22"/>
      <w:lang w:eastAsia="zh-CN"/>
    </w:rPr>
  </w:style>
  <w:style w:type="character" w:customStyle="1" w:styleId="word">
    <w:name w:val="word"/>
    <w:basedOn w:val="DefaultParagraphFont"/>
    <w:qFormat/>
    <w:rsid w:val="001662BA"/>
  </w:style>
  <w:style w:type="paragraph" w:customStyle="1" w:styleId="10">
    <w:name w:val="列出段落1"/>
    <w:basedOn w:val="Normal"/>
    <w:link w:val="Char"/>
    <w:uiPriority w:val="34"/>
    <w:qFormat/>
    <w:rsid w:val="001662BA"/>
    <w:pPr>
      <w:widowControl w:val="0"/>
      <w:spacing w:after="0" w:line="240" w:lineRule="auto"/>
      <w:ind w:firstLineChars="200" w:firstLine="420"/>
    </w:pPr>
    <w:rPr>
      <w:kern w:val="2"/>
      <w:sz w:val="21"/>
    </w:rPr>
  </w:style>
  <w:style w:type="character" w:customStyle="1" w:styleId="Heading3Char">
    <w:name w:val="Heading 3 Char"/>
    <w:link w:val="Heading3"/>
    <w:qFormat/>
    <w:rsid w:val="001662BA"/>
    <w:rPr>
      <w:b/>
      <w:bCs/>
      <w:sz w:val="32"/>
      <w:szCs w:val="32"/>
    </w:rPr>
  </w:style>
  <w:style w:type="paragraph" w:customStyle="1" w:styleId="ZT">
    <w:name w:val="ZT"/>
    <w:qFormat/>
    <w:rsid w:val="001662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ListParagraph1">
    <w:name w:val="List Paragraph1"/>
    <w:basedOn w:val="Normal"/>
    <w:uiPriority w:val="34"/>
    <w:qFormat/>
    <w:rsid w:val="001662BA"/>
    <w:pPr>
      <w:widowControl w:val="0"/>
      <w:spacing w:after="0" w:line="240" w:lineRule="auto"/>
      <w:ind w:firstLineChars="200" w:firstLine="420"/>
    </w:pPr>
    <w:rPr>
      <w:kern w:val="2"/>
      <w:sz w:val="21"/>
    </w:rPr>
  </w:style>
  <w:style w:type="paragraph" w:customStyle="1" w:styleId="TAL">
    <w:name w:val="TAL"/>
    <w:basedOn w:val="Normal"/>
    <w:qFormat/>
    <w:rsid w:val="001662BA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1662BA"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HChar">
    <w:name w:val="TH Char"/>
    <w:link w:val="TH"/>
    <w:qFormat/>
    <w:rsid w:val="001662BA"/>
    <w:rPr>
      <w:rFonts w:ascii="Arial" w:hAnsi="Arial"/>
      <w:b/>
      <w:lang w:val="en-GB" w:eastAsia="en-US"/>
    </w:rPr>
  </w:style>
  <w:style w:type="paragraph" w:customStyle="1" w:styleId="TF">
    <w:name w:val="TF"/>
    <w:basedOn w:val="TH"/>
    <w:qFormat/>
    <w:rsid w:val="001662B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Normalwithindent">
    <w:name w:val="Normal with indent"/>
    <w:basedOn w:val="Normal"/>
    <w:link w:val="NormalwithindentChar"/>
    <w:qFormat/>
    <w:rsid w:val="001662BA"/>
    <w:pPr>
      <w:spacing w:line="336" w:lineRule="auto"/>
      <w:ind w:firstLine="397"/>
    </w:pPr>
    <w:rPr>
      <w:rFonts w:eastAsia="Malgun Gothic"/>
      <w:szCs w:val="20"/>
      <w:lang w:val="en-GB" w:eastAsia="ko-KR"/>
    </w:rPr>
  </w:style>
  <w:style w:type="character" w:customStyle="1" w:styleId="NormalwithindentChar">
    <w:name w:val="Normal with indent Char"/>
    <w:link w:val="Normalwithindent"/>
    <w:qFormat/>
    <w:rsid w:val="001662BA"/>
    <w:rPr>
      <w:rFonts w:ascii="Times New Roman" w:eastAsia="Malgun Gothic" w:hAnsi="Times New Roman"/>
      <w:lang w:val="en-GB" w:eastAsia="ko-KR"/>
    </w:rPr>
  </w:style>
  <w:style w:type="paragraph" w:customStyle="1" w:styleId="LGTdoc1">
    <w:name w:val="LGTdoc_제목1"/>
    <w:basedOn w:val="Normal"/>
    <w:qFormat/>
    <w:rsid w:val="001662BA"/>
    <w:pPr>
      <w:adjustRightInd w:val="0"/>
      <w:snapToGrid w:val="0"/>
      <w:spacing w:beforeLines="50" w:after="100" w:afterAutospacing="1" w:line="240" w:lineRule="auto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PaperTableCell">
    <w:name w:val="PaperTableCell"/>
    <w:basedOn w:val="Normal"/>
    <w:qFormat/>
    <w:rsid w:val="001662BA"/>
    <w:pPr>
      <w:spacing w:after="0" w:line="240" w:lineRule="auto"/>
    </w:pPr>
    <w:rPr>
      <w:rFonts w:eastAsia="Times New Roman"/>
      <w:sz w:val="16"/>
      <w:szCs w:val="24"/>
      <w:lang w:eastAsia="en-US"/>
    </w:rPr>
  </w:style>
  <w:style w:type="character" w:customStyle="1" w:styleId="apple-style-span">
    <w:name w:val="apple-style-span"/>
    <w:basedOn w:val="DefaultParagraphFont"/>
    <w:qFormat/>
    <w:rsid w:val="001662BA"/>
  </w:style>
  <w:style w:type="character" w:customStyle="1" w:styleId="apple-converted-space">
    <w:name w:val="apple-converted-space"/>
    <w:basedOn w:val="DefaultParagraphFont"/>
    <w:qFormat/>
    <w:rsid w:val="001662BA"/>
  </w:style>
  <w:style w:type="character" w:customStyle="1" w:styleId="high-light">
    <w:name w:val="high-light"/>
    <w:basedOn w:val="DefaultParagraphFont"/>
    <w:qFormat/>
    <w:rsid w:val="001662BA"/>
  </w:style>
  <w:style w:type="paragraph" w:customStyle="1" w:styleId="Default">
    <w:name w:val="Default"/>
    <w:qFormat/>
    <w:rsid w:val="001662BA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d2035">
    <w:name w:val="样式 正文缩进d + 首行缩进:  2 字符 段前: 0.35 行"/>
    <w:basedOn w:val="NormalIndent"/>
    <w:link w:val="d2035Char"/>
    <w:qFormat/>
    <w:rsid w:val="001662BA"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KaiTi_GB2312" w:cs="宋体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basedOn w:val="DefaultParagraphFont"/>
    <w:link w:val="d2035"/>
    <w:qFormat/>
    <w:rsid w:val="001662BA"/>
    <w:rPr>
      <w:rFonts w:ascii="Times New Roman" w:eastAsia="KaiTi_GB2312" w:hAnsi="Times New Roman" w:cs="宋体"/>
      <w:snapToGrid w:val="0"/>
      <w:sz w:val="2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rsid w:val="001662BA"/>
    <w:pPr>
      <w:spacing w:after="180" w:line="336" w:lineRule="auto"/>
      <w:ind w:firstLineChars="200" w:firstLine="200"/>
    </w:pPr>
    <w:rPr>
      <w:rFonts w:eastAsia="Malgun Gothic" w:cs="Batang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qFormat/>
    <w:rsid w:val="001662BA"/>
    <w:rPr>
      <w:rFonts w:ascii="Times New Roman" w:eastAsia="Malgun Gothic" w:hAnsi="Times New Roman" w:cs="Batang"/>
      <w:lang w:val="en-GB" w:eastAsia="en-US"/>
    </w:rPr>
  </w:style>
  <w:style w:type="paragraph" w:customStyle="1" w:styleId="maintext">
    <w:name w:val="main text"/>
    <w:basedOn w:val="Normal"/>
    <w:qFormat/>
    <w:rsid w:val="001662BA"/>
    <w:pPr>
      <w:spacing w:before="60" w:after="60" w:line="288" w:lineRule="auto"/>
      <w:ind w:firstLineChars="200" w:firstLine="200"/>
    </w:pPr>
    <w:rPr>
      <w:rFonts w:eastAsia="Malgun Gothic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1662BA"/>
    <w:rPr>
      <w:rFonts w:ascii="Cambria" w:hAnsi="Cambria"/>
      <w:b/>
      <w:bCs/>
      <w:sz w:val="32"/>
      <w:szCs w:val="32"/>
    </w:rPr>
  </w:style>
  <w:style w:type="paragraph" w:customStyle="1" w:styleId="4">
    <w:name w:val="样式4"/>
    <w:basedOn w:val="Heading1"/>
    <w:qFormat/>
    <w:rsid w:val="001662BA"/>
    <w:pPr>
      <w:keepNext/>
      <w:keepLines/>
      <w:widowControl/>
      <w:numPr>
        <w:numId w:val="3"/>
      </w:numPr>
      <w:tabs>
        <w:tab w:val="left" w:pos="426"/>
      </w:tabs>
      <w:overflowPunct w:val="0"/>
      <w:spacing w:before="240" w:after="120" w:line="288" w:lineRule="auto"/>
      <w:textAlignment w:val="baseline"/>
    </w:pPr>
    <w:rPr>
      <w:rFonts w:eastAsia="宋体"/>
      <w:sz w:val="24"/>
      <w:szCs w:val="24"/>
      <w:lang w:val="en-US"/>
    </w:rPr>
  </w:style>
  <w:style w:type="paragraph" w:customStyle="1" w:styleId="baseStyleRight">
    <w:name w:val="baseStyleRight"/>
    <w:basedOn w:val="Normal"/>
    <w:qFormat/>
    <w:rsid w:val="001662BA"/>
    <w:pPr>
      <w:spacing w:after="180" w:line="240" w:lineRule="auto"/>
      <w:jc w:val="right"/>
    </w:pPr>
    <w:rPr>
      <w:rFonts w:eastAsia="Times New Roman"/>
      <w:szCs w:val="20"/>
      <w:lang w:eastAsia="en-US"/>
    </w:rPr>
  </w:style>
  <w:style w:type="paragraph" w:customStyle="1" w:styleId="references0">
    <w:name w:val="references"/>
    <w:qFormat/>
    <w:rsid w:val="001662BA"/>
    <w:pPr>
      <w:numPr>
        <w:numId w:val="4"/>
      </w:numPr>
      <w:spacing w:after="50" w:line="180" w:lineRule="exact"/>
      <w:jc w:val="both"/>
    </w:pPr>
    <w:rPr>
      <w:rFonts w:eastAsia="MS Mincho"/>
      <w:sz w:val="16"/>
      <w:szCs w:val="16"/>
    </w:rPr>
  </w:style>
  <w:style w:type="character" w:customStyle="1" w:styleId="Char">
    <w:name w:val="列出段落 Char"/>
    <w:link w:val="10"/>
    <w:uiPriority w:val="34"/>
    <w:qFormat/>
    <w:locked/>
    <w:rsid w:val="001662BA"/>
    <w:rPr>
      <w:kern w:val="2"/>
      <w:sz w:val="21"/>
      <w:szCs w:val="22"/>
    </w:rPr>
  </w:style>
  <w:style w:type="character" w:customStyle="1" w:styleId="def">
    <w:name w:val="def"/>
    <w:basedOn w:val="DefaultParagraphFont"/>
    <w:qFormat/>
    <w:rsid w:val="001662BA"/>
  </w:style>
  <w:style w:type="paragraph" w:customStyle="1" w:styleId="References">
    <w:name w:val="References"/>
    <w:basedOn w:val="Normal"/>
    <w:qFormat/>
    <w:rsid w:val="001662BA"/>
    <w:pPr>
      <w:numPr>
        <w:numId w:val="5"/>
      </w:numPr>
      <w:autoSpaceDE w:val="0"/>
      <w:autoSpaceDN w:val="0"/>
      <w:snapToGrid w:val="0"/>
      <w:spacing w:before="0" w:after="60" w:line="240" w:lineRule="auto"/>
    </w:pPr>
    <w:rPr>
      <w:szCs w:val="16"/>
      <w:lang w:eastAsia="en-US"/>
    </w:rPr>
  </w:style>
  <w:style w:type="paragraph" w:customStyle="1" w:styleId="ListParagraph2">
    <w:name w:val="List Paragraph2"/>
    <w:basedOn w:val="Normal"/>
    <w:uiPriority w:val="34"/>
    <w:qFormat/>
    <w:rsid w:val="001662BA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81B93B-AD3F-4E30-A8BA-595B8A9A1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1280</Words>
  <Characters>7297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>Microsoft</Company>
  <LinksUpToDate>false</LinksUpToDate>
  <CharactersWithSpaces>8560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creator>ZTE</dc:creator>
  <cp:lastModifiedBy>Windows User</cp:lastModifiedBy>
  <cp:revision>133</cp:revision>
  <dcterms:created xsi:type="dcterms:W3CDTF">2017-02-03T08:07:00Z</dcterms:created>
  <dcterms:modified xsi:type="dcterms:W3CDTF">2017-08-12T03:30:00Z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